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418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3"/>
      </w:tblGrid>
      <w:tr w:rsidR="00CD0414" w:rsidTr="00776C63">
        <w:trPr>
          <w:trHeight w:val="40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9746C" w:rsidP="00DB3383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b/>
              </w:rPr>
              <w:t>Multidimensional Data Analysis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03AC" w:rsidRPr="003A2588" w:rsidRDefault="007903A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776C63">
        <w:trPr>
          <w:trHeight w:val="340"/>
        </w:trPr>
        <w:tc>
          <w:tcPr>
            <w:tcW w:w="212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DB3383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DB3383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DB3383" w:rsidRDefault="00DB3383" w:rsidP="00417454">
            <w:pPr>
              <w:spacing w:line="240" w:lineRule="auto"/>
              <w:rPr>
                <w:bCs/>
                <w:sz w:val="20"/>
                <w:szCs w:val="20"/>
              </w:rPr>
            </w:pPr>
            <w:r w:rsidRPr="00DB3383">
              <w:rPr>
                <w:sz w:val="20"/>
                <w:szCs w:val="20"/>
              </w:rPr>
              <w:t>Wielowymiarowa Analiza Danych</w:t>
            </w:r>
          </w:p>
        </w:tc>
      </w:tr>
      <w:tr w:rsidR="00CD0414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776C63">
        <w:trPr>
          <w:trHeight w:val="227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776C63">
        <w:trPr>
          <w:trHeight w:val="303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C57B8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776C63">
        <w:trPr>
          <w:trHeight w:val="4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C57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C57B8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C57B8" w:rsidP="009C57B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776C63">
        <w:trPr>
          <w:trHeight w:val="39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76C6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9C57B8" w:rsidRPr="009C57B8">
              <w:rPr>
                <w:b/>
                <w:sz w:val="16"/>
                <w:szCs w:val="16"/>
              </w:rPr>
              <w:t>E-</w:t>
            </w:r>
            <w:r w:rsidR="000C39D0">
              <w:rPr>
                <w:b/>
                <w:sz w:val="16"/>
                <w:szCs w:val="16"/>
              </w:rPr>
              <w:t>BDA-</w:t>
            </w:r>
            <w:r w:rsidR="009C57B8" w:rsidRPr="009C57B8">
              <w:rPr>
                <w:b/>
                <w:sz w:val="16"/>
                <w:szCs w:val="16"/>
              </w:rPr>
              <w:t>2S-01Z-4</w:t>
            </w:r>
          </w:p>
        </w:tc>
      </w:tr>
      <w:tr w:rsidR="00ED11F9" w:rsidRPr="00CD0414" w:rsidTr="00D5165A">
        <w:trPr>
          <w:trHeight w:val="227"/>
        </w:trPr>
        <w:tc>
          <w:tcPr>
            <w:tcW w:w="103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B3383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DB3383" w:rsidRPr="00582090" w:rsidRDefault="00DB3383" w:rsidP="00DB338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3383" w:rsidRPr="007D57A2" w:rsidRDefault="00DB3383" w:rsidP="00DB33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DB3383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DB3383" w:rsidRPr="00582090" w:rsidRDefault="00DB3383" w:rsidP="00DB338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3383" w:rsidRPr="007D57A2" w:rsidRDefault="00DB3383" w:rsidP="00DB33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90DB4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3383" w:rsidRDefault="00DB338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F209C">
              <w:rPr>
                <w:rFonts w:ascii="Arial" w:hAnsi="Arial" w:cs="Arial"/>
                <w:sz w:val="16"/>
                <w:szCs w:val="16"/>
                <w:lang w:val="en-US"/>
              </w:rPr>
              <w:t xml:space="preserve">The course is designed to provide students with the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basic</w:t>
            </w:r>
            <w:r w:rsidRPr="008F209C">
              <w:rPr>
                <w:rFonts w:ascii="Arial" w:hAnsi="Arial" w:cs="Arial"/>
                <w:sz w:val="16"/>
                <w:szCs w:val="16"/>
                <w:lang w:val="en-US"/>
              </w:rPr>
              <w:t xml:space="preserve"> theory and modeling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tools in multivariate analysis of data</w:t>
            </w:r>
            <w:r w:rsidRPr="008F209C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8F209C">
              <w:rPr>
                <w:rFonts w:ascii="Arial" w:hAnsi="Arial" w:cs="Arial"/>
                <w:sz w:val="16"/>
                <w:szCs w:val="16"/>
                <w:lang w:val="en-US"/>
              </w:rPr>
              <w:t>Topics include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different statistical models for reduction dimensionality, segmentation or building classification rules. </w:t>
            </w:r>
            <w:r w:rsidRPr="0049160E">
              <w:rPr>
                <w:rFonts w:ascii="Arial" w:hAnsi="Arial" w:cs="Arial"/>
                <w:sz w:val="16"/>
                <w:szCs w:val="16"/>
                <w:lang w:val="en-US"/>
              </w:rPr>
              <w:t xml:space="preserve">Particular emphasis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is</w:t>
            </w:r>
            <w:r w:rsidRPr="0049160E">
              <w:rPr>
                <w:rFonts w:ascii="Arial" w:hAnsi="Arial" w:cs="Arial"/>
                <w:sz w:val="16"/>
                <w:szCs w:val="16"/>
                <w:lang w:val="en-US"/>
              </w:rPr>
              <w:t xml:space="preserve"> placed on the interpretation of the results obtained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from analytical models</w:t>
            </w:r>
            <w:r w:rsidR="006D34A0" w:rsidRPr="00DB338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151533" w:rsidRPr="00DB338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rPr>
                <w:rFonts w:cs="Arial"/>
                <w:b/>
                <w:i w:val="0"/>
                <w:sz w:val="16"/>
                <w:szCs w:val="16"/>
              </w:rPr>
            </w:pPr>
            <w:r w:rsidRPr="00112599">
              <w:rPr>
                <w:rFonts w:cs="Arial"/>
                <w:b/>
                <w:i w:val="0"/>
                <w:sz w:val="16"/>
                <w:szCs w:val="16"/>
              </w:rPr>
              <w:t>Content of lectures: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Two cultures of Data Analysis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Multivariate analytical techniques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 xml:space="preserve">Linear Multidimensional Models 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Principal Components - dimensionality reduction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Factor Analysis – interpretation of dimension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Cluster Analysis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Multidimensional Discrimination Methods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Handling of missing data and outliers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rPr>
                <w:rFonts w:cs="Arial"/>
                <w:b/>
                <w:i w:val="0"/>
                <w:sz w:val="16"/>
                <w:szCs w:val="16"/>
              </w:rPr>
            </w:pPr>
            <w:r w:rsidRPr="00112599">
              <w:rPr>
                <w:rFonts w:cs="Arial"/>
                <w:b/>
                <w:i w:val="0"/>
                <w:sz w:val="16"/>
                <w:szCs w:val="16"/>
              </w:rPr>
              <w:t xml:space="preserve">Contenet of class: 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 xml:space="preserve">SAS – tool for multidimensional analysis.  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</w:rPr>
            </w:pPr>
            <w:r w:rsidRPr="00112599">
              <w:rPr>
                <w:rFonts w:cs="Arial"/>
                <w:i w:val="0"/>
                <w:sz w:val="16"/>
                <w:szCs w:val="16"/>
              </w:rPr>
              <w:t>Multivariate Regression .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  <w:lang w:val="en-US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Dimensional reduction and their interpretation .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</w:rPr>
            </w:pPr>
            <w:r w:rsidRPr="00112599">
              <w:rPr>
                <w:rFonts w:cs="Arial"/>
                <w:i w:val="0"/>
                <w:sz w:val="16"/>
                <w:szCs w:val="16"/>
                <w:lang w:val="en-US"/>
              </w:rPr>
              <w:t>Segmentation and grouping.</w:t>
            </w:r>
            <w:r w:rsidRPr="00112599">
              <w:rPr>
                <w:rFonts w:cs="Arial"/>
                <w:i w:val="0"/>
                <w:sz w:val="16"/>
                <w:szCs w:val="16"/>
              </w:rPr>
              <w:t xml:space="preserve"> </w:t>
            </w:r>
          </w:p>
          <w:p w:rsidR="00DB3383" w:rsidRPr="00112599" w:rsidRDefault="00DB3383" w:rsidP="00DB3383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i w:val="0"/>
                <w:sz w:val="16"/>
                <w:szCs w:val="16"/>
              </w:rPr>
            </w:pPr>
            <w:r w:rsidRPr="00112599">
              <w:rPr>
                <w:rFonts w:cs="Arial"/>
                <w:i w:val="0"/>
                <w:sz w:val="16"/>
                <w:szCs w:val="16"/>
              </w:rPr>
              <w:t>Discrimination and classification</w:t>
            </w:r>
          </w:p>
          <w:p w:rsidR="00ED11F9" w:rsidRPr="00112599" w:rsidRDefault="00DB3383" w:rsidP="00112599">
            <w:pPr>
              <w:pStyle w:val="Akapitzlist"/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2599">
              <w:rPr>
                <w:rFonts w:ascii="Arial" w:hAnsi="Arial" w:cs="Arial"/>
                <w:sz w:val="16"/>
                <w:szCs w:val="16"/>
                <w:lang w:val="en-US"/>
              </w:rPr>
              <w:t>Additional topics in multidimensional data</w:t>
            </w:r>
          </w:p>
        </w:tc>
      </w:tr>
      <w:tr w:rsidR="00ED11F9" w:rsidRPr="00E31A6B" w:rsidTr="00776C63">
        <w:trPr>
          <w:trHeight w:val="883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DB3383" w:rsidRDefault="006D34A0" w:rsidP="00DB338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</w:t>
            </w:r>
          </w:p>
        </w:tc>
      </w:tr>
      <w:tr w:rsidR="00ED11F9" w:rsidRPr="00E31A6B" w:rsidTr="00776C63">
        <w:trPr>
          <w:trHeight w:val="57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B666E" w:rsidP="007310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666E">
              <w:rPr>
                <w:rFonts w:ascii="Arial" w:hAnsi="Arial" w:cs="Arial"/>
                <w:sz w:val="16"/>
                <w:szCs w:val="16"/>
              </w:rPr>
              <w:t>Wykład, laboratorium komputerowe, analiza i interpretacja danych źródłowych, dyskusja, projekt</w:t>
            </w:r>
            <w:r w:rsidR="00731014">
              <w:rPr>
                <w:rFonts w:ascii="Arial" w:hAnsi="Arial" w:cs="Arial"/>
                <w:sz w:val="16"/>
                <w:szCs w:val="16"/>
              </w:rPr>
              <w:t>y</w:t>
            </w:r>
            <w:r w:rsidRPr="00FB666E">
              <w:rPr>
                <w:rFonts w:ascii="Arial" w:hAnsi="Arial" w:cs="Arial"/>
                <w:sz w:val="16"/>
                <w:szCs w:val="16"/>
              </w:rPr>
              <w:t>, rozwiązywanie problemu, studium przypadku, symulacje, indywidualne projekty studenckie, konsultacje</w:t>
            </w:r>
          </w:p>
        </w:tc>
      </w:tr>
      <w:tr w:rsidR="00ED11F9" w:rsidRPr="00E31A6B" w:rsidTr="00776C63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</w:t>
            </w:r>
            <w:r w:rsidR="00277B0D">
              <w:rPr>
                <w:rFonts w:ascii="Arial" w:hAnsi="Arial" w:cs="Arial"/>
                <w:sz w:val="16"/>
                <w:szCs w:val="16"/>
              </w:rPr>
              <w:t xml:space="preserve">ia formalne: </w:t>
            </w:r>
          </w:p>
          <w:p w:rsidR="00ED11F9" w:rsidRPr="00D5165A" w:rsidRDefault="00D5165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zaliczenia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FB666E">
              <w:rPr>
                <w:rFonts w:ascii="Arial" w:hAnsi="Arial" w:cs="Arial"/>
                <w:sz w:val="16"/>
                <w:szCs w:val="16"/>
              </w:rPr>
              <w:t xml:space="preserve"> przedmiotów: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666E">
              <w:rPr>
                <w:rFonts w:ascii="Arial" w:hAnsi="Arial" w:cs="Arial"/>
                <w:sz w:val="16"/>
                <w:szCs w:val="16"/>
              </w:rPr>
              <w:t>a</w:t>
            </w:r>
            <w:r w:rsidR="00FB666E" w:rsidRPr="00FB666E">
              <w:rPr>
                <w:rFonts w:ascii="Arial" w:hAnsi="Arial" w:cs="Arial"/>
                <w:sz w:val="16"/>
                <w:szCs w:val="16"/>
              </w:rPr>
              <w:t>naliza matematyczna, algebra liniowa, informatyka ekonomiczna, statystyka opisowa i ekonomiczna, rachunek prawdopodobieństwa i statystyka matematyczna, ekonometria</w:t>
            </w:r>
          </w:p>
          <w:p w:rsidR="00ED11F9" w:rsidRDefault="00277B0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="00D5165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5165A" w:rsidRPr="00D5165A" w:rsidRDefault="00D5165A" w:rsidP="007310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posiadanej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wiedzy: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wykazuje znajomość zagadnień z zakresu matematyki, statystyki i ekonometrii oraz </w:t>
            </w:r>
            <w:r w:rsidR="00731014">
              <w:rPr>
                <w:rFonts w:ascii="Arial" w:hAnsi="Arial" w:cs="Arial"/>
                <w:sz w:val="16"/>
                <w:szCs w:val="16"/>
              </w:rPr>
              <w:t xml:space="preserve">podstawowych </w:t>
            </w:r>
            <w:r w:rsidRPr="00D5165A">
              <w:rPr>
                <w:rFonts w:ascii="Arial" w:hAnsi="Arial" w:cs="Arial"/>
                <w:sz w:val="16"/>
                <w:szCs w:val="16"/>
              </w:rPr>
              <w:t>narzędzi informatycznych; w zakresie umiejętności: potrafi wyznaczać miary statystyczne zróżnicowania, posługiwać się funkcjami  arkusza kalkulacyjnego Excel, związanych ze statystyką, algebrą i analizą danych; w zakresie kompetencji (postaw): potrafi pracować w grupie</w:t>
            </w:r>
            <w:r w:rsidR="003D2A5E">
              <w:rPr>
                <w:rFonts w:ascii="Arial" w:hAnsi="Arial" w:cs="Arial"/>
                <w:sz w:val="16"/>
                <w:szCs w:val="16"/>
              </w:rPr>
              <w:t>/zespole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 oraz samodzielnie opracowywać informacje na wskazany temat,  potrafi posługiwać się jednym z pakietów statystycznych dostępnych na wydziale</w:t>
            </w:r>
          </w:p>
        </w:tc>
      </w:tr>
      <w:tr w:rsidR="00ED11F9" w:rsidTr="00776C63">
        <w:trPr>
          <w:trHeight w:val="907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 rozumie podstawy teoretyczne wybranych metod analizy wielowymiarowej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przekształcania danych i  tworzenia zmiennych wskaźnikowych, mechanizmy wizualizacji danych wielowymiarowych, uzupełniania braków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lastRenderedPageBreak/>
              <w:t>danych i usuwania elementów odstających, tworzenia zmiennych wskaźnikowych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7128C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zna  i potrafi objaśnić podstawowe pojęcia z zakresu analizy wielowymiarowej oraz zna i rozumie jakie może być zastosowanie poszczególnych  metod wielowymiarowej analizy w naukach społeczno-ekonomicznych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7128CA">
              <w:t xml:space="preserve"> </w:t>
            </w:r>
            <w:r w:rsidR="007128CA" w:rsidRPr="007128CA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praktycznego, potrafi we właściwy sposób pozyskiwać dane oraz umie dokonać  interpretacji  i weryfikacji uzyskanych wyników w zakresie uporządkowania, klasyfikacji (dyskryminacji)  obiektów gospodarczych oraz zaprezentować wyniki w formie wizualizacji)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A55EE1" w:rsidRPr="00A55EE1">
              <w:rPr>
                <w:rFonts w:ascii="Arial" w:hAnsi="Arial" w:cs="Arial"/>
                <w:sz w:val="16"/>
                <w:szCs w:val="16"/>
              </w:rPr>
              <w:t xml:space="preserve">posiada umiejętność obsługi podstawowych funkcji arkusza kalkulacyjnego Excel, związanych z analizą wielowymiarową oraz wybranego pakietu specjalistycznego dostępnego na wydziale, potrafi stosować </w:t>
            </w:r>
            <w:r w:rsidR="00A55EE1" w:rsidRPr="00A55EE1">
              <w:rPr>
                <w:rFonts w:ascii="Arial" w:hAnsi="Arial" w:cs="Arial"/>
                <w:sz w:val="16"/>
                <w:szCs w:val="16"/>
              </w:rPr>
              <w:lastRenderedPageBreak/>
              <w:t>odpowiednie metody uczenia maszynowego do wybranych problemów z praktyki gospodarczej oraz przy wykorzystaniu technik symulacyjnych  ocenić jakość tych metod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A55E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D0771C" w:rsidRDefault="00A55EE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771C">
              <w:rPr>
                <w:rFonts w:ascii="Arial" w:hAnsi="Arial" w:cs="Arial"/>
                <w:sz w:val="16"/>
                <w:szCs w:val="16"/>
              </w:rPr>
              <w:t xml:space="preserve">1- opanował zasady pracy zespołowej, która wymaga samokształcenia  aby wykonać poprawnie duży projekt analityczny  realizowany przez kilkuosobowy Zespół w wyznaczonej roli </w:t>
            </w:r>
            <w:r w:rsidRPr="00D0771C">
              <w:rPr>
                <w:rFonts w:ascii="Arial" w:hAnsi="Arial" w:cs="Arial"/>
                <w:sz w:val="16"/>
                <w:szCs w:val="16"/>
              </w:rPr>
              <w:lastRenderedPageBreak/>
              <w:t>przez wybranego Lidera</w:t>
            </w:r>
            <w:r w:rsidR="004B7367" w:rsidRPr="00D0771C">
              <w:rPr>
                <w:rFonts w:ascii="Arial" w:hAnsi="Arial" w:cs="Arial"/>
                <w:sz w:val="16"/>
                <w:szCs w:val="16"/>
              </w:rPr>
              <w:t xml:space="preserve"> Zespołu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776C63">
        <w:trPr>
          <w:trHeight w:val="950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664C8C" w:rsidP="00DB338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Ocena przygotowan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indywidualn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="00DB3383">
              <w:rPr>
                <w:rFonts w:ascii="Arial" w:hAnsi="Arial" w:cs="Arial"/>
                <w:sz w:val="16"/>
                <w:szCs w:val="16"/>
              </w:rPr>
              <w:t xml:space="preserve"> z zakresu analizy danych</w:t>
            </w:r>
          </w:p>
        </w:tc>
      </w:tr>
      <w:tr w:rsidR="00ED11F9" w:rsidTr="00776C63">
        <w:trPr>
          <w:trHeight w:val="505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DB338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pisemne 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w formie testu </w:t>
            </w:r>
            <w:r w:rsidR="00664C8C">
              <w:rPr>
                <w:rFonts w:ascii="Arial" w:hAnsi="Arial" w:cs="Arial"/>
                <w:sz w:val="16"/>
                <w:szCs w:val="16"/>
              </w:rPr>
              <w:t>(papierowo) oraz projekty (elektronicznie)</w:t>
            </w:r>
          </w:p>
        </w:tc>
      </w:tr>
      <w:tr w:rsidR="00ED11F9" w:rsidTr="00776C63">
        <w:trPr>
          <w:trHeight w:val="527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DB3383" w:rsidRDefault="00664C8C" w:rsidP="00DB338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wykonanie zadania projektowego</w:t>
            </w:r>
            <w:r w:rsidR="00DB3383">
              <w:rPr>
                <w:rFonts w:ascii="Arial" w:hAnsi="Arial" w:cs="Arial"/>
                <w:sz w:val="16"/>
                <w:szCs w:val="16"/>
              </w:rPr>
              <w:t xml:space="preserve"> –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waga </w:t>
            </w:r>
            <w:r w:rsidR="00DB3383">
              <w:rPr>
                <w:rFonts w:ascii="Arial" w:hAnsi="Arial" w:cs="Arial"/>
                <w:sz w:val="16"/>
                <w:szCs w:val="16"/>
              </w:rPr>
              <w:t>50%, test – waga 5</w:t>
            </w:r>
            <w:r w:rsidRPr="00664C8C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ED11F9" w:rsidTr="00776C63">
        <w:trPr>
          <w:trHeight w:val="340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3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390DB4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Pr="0029746C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29746C">
              <w:rPr>
                <w:sz w:val="16"/>
                <w:szCs w:val="16"/>
                <w:lang w:val="en-US"/>
              </w:rPr>
              <w:t>Literatura podstawowa i uzupełniająca:</w:t>
            </w:r>
          </w:p>
          <w:p w:rsidR="00ED11F9" w:rsidRDefault="00ED11F9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Breima L., “Statistical Modeling: The Two Cultures“, Statistical Science    2001, Vol. 16, No. 3, 199–231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Dinsmore T , “Disruptive Analytics: Charting Your Strategy for Next-Generation Business Analytics”, Apress 2016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Everitt, B., “Cluster Analysis”, Wiley &amp; Sons, 2011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Graham J., “Missing Data: Analysis and Design”, Springer, 2012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Hastie T., Tibshirani R., Friedman J., “Statistical Learning Data Mining, Inference, and Prediction” ,Springer, 2008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Hair J., Black W., B. Babin, R. Anderson, “Multivariate Data Analysis”, Pearson Education, 2014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Heardle. W.,”Applied Multivariate Statistical Analysis”, Springer.2015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Izenman A., „Modern Multivariate Statistical Techniques”, Springer Science, (2013)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Tucker L., MacCallum R., “Exploratory Factor Analysis”, Unpublished manuscript, Ohio State University, Columbus, (1997)</w:t>
            </w:r>
          </w:p>
          <w:p w:rsidR="00DB3383" w:rsidRPr="00DB3383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DB3383">
              <w:rPr>
                <w:sz w:val="16"/>
                <w:szCs w:val="16"/>
                <w:lang w:val="en-US"/>
              </w:rPr>
              <w:t>Wooldridge J., “Introductory Econometrics: A Modern Approach”,  South-Western, 2013</w:t>
            </w:r>
          </w:p>
          <w:p w:rsidR="00DB3383" w:rsidRPr="00091137" w:rsidRDefault="00DB3383" w:rsidP="00DB338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D5165A">
        <w:trPr>
          <w:trHeight w:val="340"/>
        </w:trPr>
        <w:tc>
          <w:tcPr>
            <w:tcW w:w="10317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F7E6F" w:rsidRDefault="00ED11F9">
      <w:pPr>
        <w:rPr>
          <w:sz w:val="16"/>
        </w:rPr>
      </w:pPr>
      <w:r>
        <w:rPr>
          <w:sz w:val="16"/>
        </w:rPr>
        <w:br/>
      </w:r>
      <w:r w:rsidR="008F7E6F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50A4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664C8C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E5C0F" w:rsidP="00750A4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</w:t>
            </w:r>
            <w:r w:rsidR="00750A4B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31B39" w:rsidP="00B16C74">
            <w:pPr>
              <w:rPr>
                <w:bCs/>
                <w:sz w:val="18"/>
                <w:szCs w:val="18"/>
              </w:rPr>
            </w:pPr>
            <w:r w:rsidRPr="00031B39">
              <w:rPr>
                <w:rFonts w:ascii="Arial" w:hAnsi="Arial" w:cs="Arial"/>
                <w:sz w:val="16"/>
                <w:szCs w:val="16"/>
              </w:rPr>
              <w:t>zna przykłady zagadnień, w których stosowane są metody  porządkowania liniowego obiektów wielocechowych  (wraz z ich wizualizacją)   oraz  zagadnienia dotyczące grupowania /klasyfikacji takich obiektów,</w:t>
            </w:r>
            <w:r w:rsidR="00B16C74">
              <w:t xml:space="preserve"> </w:t>
            </w:r>
            <w:r w:rsidR="00B16C74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0BE5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B16C74" w:rsidP="00D12881">
            <w:pPr>
              <w:rPr>
                <w:bCs/>
                <w:sz w:val="18"/>
                <w:szCs w:val="18"/>
              </w:rPr>
            </w:pPr>
            <w:r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przekształcania danych i  tworzenia zmiennych wskaźnikowych, </w:t>
            </w:r>
            <w:r>
              <w:rPr>
                <w:rFonts w:ascii="Arial" w:hAnsi="Arial" w:cs="Arial"/>
                <w:sz w:val="16"/>
                <w:szCs w:val="16"/>
              </w:rPr>
              <w:t xml:space="preserve">mechanizmy </w:t>
            </w:r>
            <w:r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154634">
              <w:rPr>
                <w:rFonts w:ascii="Arial" w:hAnsi="Arial" w:cs="Arial"/>
                <w:sz w:val="16"/>
                <w:szCs w:val="16"/>
              </w:rPr>
              <w:t>, tworzenia zmiennych wskaźnikowych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80BE5">
              <w:rPr>
                <w:bCs/>
                <w:sz w:val="18"/>
                <w:szCs w:val="18"/>
              </w:rPr>
              <w:t>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580BE5" w:rsidP="00580BE5">
            <w:pPr>
              <w:rPr>
                <w:bCs/>
                <w:sz w:val="18"/>
                <w:szCs w:val="18"/>
              </w:rPr>
            </w:pPr>
            <w:r w:rsidRPr="00580BE5">
              <w:rPr>
                <w:rFonts w:ascii="Arial" w:hAnsi="Arial" w:cs="Arial"/>
                <w:sz w:val="16"/>
                <w:szCs w:val="16"/>
              </w:rPr>
              <w:t xml:space="preserve">zna  i potrafi objaśnić podstawowe pojęcia z </w:t>
            </w:r>
            <w:r>
              <w:rPr>
                <w:rFonts w:ascii="Arial" w:hAnsi="Arial" w:cs="Arial"/>
                <w:sz w:val="16"/>
                <w:szCs w:val="16"/>
              </w:rPr>
              <w:t>zakresu analizy wielowymiarowej oraz</w:t>
            </w:r>
            <w:r w:rsidRPr="00580BE5">
              <w:rPr>
                <w:rFonts w:ascii="Arial" w:hAnsi="Arial" w:cs="Arial"/>
                <w:sz w:val="16"/>
                <w:szCs w:val="16"/>
              </w:rPr>
              <w:t xml:space="preserve"> zna i rozumie jakie może być zastosowanie poszczególnych  metod wielowymiarowej analizy w naukach społeczno-ekonomicznych,</w:t>
            </w:r>
            <w:r w:rsidRPr="00FB1C1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80B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580BE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154634" w:rsidP="00154634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potrafi przeprowadzić  identyfikację właściwego  narzędzia do analizy konkretnego problemu praktycznego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546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6310">
              <w:rPr>
                <w:rFonts w:ascii="Arial" w:hAnsi="Arial" w:cs="Arial"/>
                <w:sz w:val="16"/>
                <w:szCs w:val="16"/>
              </w:rPr>
              <w:t>potrafi w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="00566310"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4634">
              <w:rPr>
                <w:rFonts w:ascii="Arial" w:hAnsi="Arial" w:cs="Arial"/>
                <w:sz w:val="16"/>
                <w:szCs w:val="16"/>
              </w:rPr>
              <w:t>umie dokonać  interpretacji  i weryfikacji uzyskanych wyników w zakresie uporządkowania, klasyfikacji (dyskryminacji)  obiektów gospodarczych oraz zaprezentować wyniki w formie wizualizacji)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154634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4634" w:rsidP="00E51C8B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>posiada umiejętność obsługi podstawowych funkcji arkusza kalkulacyjnego Excel, związanych z analizą wielowymiarową oraz wybranego pakietu specjalistycznego dostępnego na wydziale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ocenić </w:t>
            </w:r>
            <w:r w:rsidR="007128CA">
              <w:rPr>
                <w:rFonts w:ascii="Arial" w:hAnsi="Arial" w:cs="Arial"/>
                <w:sz w:val="16"/>
                <w:szCs w:val="16"/>
              </w:rPr>
              <w:t>jakość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 tych metod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3001" w:type="dxa"/>
          </w:tcPr>
          <w:p w:rsidR="0093211F" w:rsidRPr="0052772A" w:rsidRDefault="0052772A" w:rsidP="001546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54634">
              <w:rPr>
                <w:bCs/>
                <w:sz w:val="18"/>
                <w:szCs w:val="18"/>
              </w:rPr>
              <w:t>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93B1D" w:rsidRDefault="0093211F" w:rsidP="006478A0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Kompetencje </w:t>
            </w:r>
            <w:r w:rsidR="00E51C8B" w:rsidRPr="00493B1D"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4563" w:type="dxa"/>
          </w:tcPr>
          <w:p w:rsidR="0093211F" w:rsidRPr="00FB1C10" w:rsidRDefault="00E51C8B" w:rsidP="00A55EE1">
            <w:pPr>
              <w:rPr>
                <w:bCs/>
                <w:sz w:val="18"/>
                <w:szCs w:val="18"/>
              </w:rPr>
            </w:pPr>
            <w:r w:rsidRPr="00E51C8B">
              <w:rPr>
                <w:bCs/>
                <w:sz w:val="18"/>
                <w:szCs w:val="18"/>
              </w:rPr>
              <w:t>opanował zasady pracy zespołowej</w:t>
            </w:r>
            <w:r w:rsidR="00493B1D">
              <w:rPr>
                <w:bCs/>
                <w:sz w:val="18"/>
                <w:szCs w:val="18"/>
              </w:rPr>
              <w:t xml:space="preserve">, która wymaga samokształcenia </w:t>
            </w:r>
            <w:r w:rsidR="00A23CB3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aby wykonać </w:t>
            </w:r>
            <w:r w:rsidR="00A23CB3">
              <w:rPr>
                <w:bCs/>
                <w:sz w:val="18"/>
                <w:szCs w:val="18"/>
              </w:rPr>
              <w:t xml:space="preserve">poprawnie </w:t>
            </w:r>
            <w:r w:rsidR="00A55EE1">
              <w:rPr>
                <w:bCs/>
                <w:sz w:val="18"/>
                <w:szCs w:val="18"/>
              </w:rPr>
              <w:t xml:space="preserve">duży </w:t>
            </w:r>
            <w:r w:rsidR="00493B1D">
              <w:rPr>
                <w:bCs/>
                <w:sz w:val="18"/>
                <w:szCs w:val="18"/>
              </w:rPr>
              <w:t xml:space="preserve">projekt analityczny </w:t>
            </w:r>
            <w:r w:rsidRPr="00E51C8B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realizowany przez </w:t>
            </w:r>
            <w:r w:rsidR="00F968CA">
              <w:rPr>
                <w:bCs/>
                <w:sz w:val="18"/>
                <w:szCs w:val="18"/>
              </w:rPr>
              <w:t xml:space="preserve">kilkuosobowy </w:t>
            </w:r>
            <w:r w:rsidR="00493B1D">
              <w:rPr>
                <w:bCs/>
                <w:sz w:val="18"/>
                <w:szCs w:val="18"/>
              </w:rPr>
              <w:t xml:space="preserve">Zespół </w:t>
            </w:r>
            <w:r w:rsidR="00A55EE1">
              <w:rPr>
                <w:bCs/>
                <w:sz w:val="18"/>
                <w:szCs w:val="18"/>
              </w:rPr>
              <w:t xml:space="preserve">w wyznaczonej roli przez wybranego Lidera </w:t>
            </w:r>
            <w:r w:rsidR="004B7367">
              <w:rPr>
                <w:bCs/>
                <w:sz w:val="18"/>
                <w:szCs w:val="18"/>
              </w:rPr>
              <w:t>Zespołu</w:t>
            </w:r>
          </w:p>
        </w:tc>
        <w:tc>
          <w:tcPr>
            <w:tcW w:w="3001" w:type="dxa"/>
          </w:tcPr>
          <w:p w:rsidR="00493B1D" w:rsidRPr="00493B1D" w:rsidRDefault="00493B1D" w:rsidP="00390DB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K_K03/</w:t>
            </w:r>
            <w:r w:rsidRPr="00AA16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93B1D">
              <w:rPr>
                <w:rFonts w:cstheme="minorHAnsi"/>
                <w:sz w:val="18"/>
                <w:szCs w:val="18"/>
              </w:rPr>
              <w:t>P7S_KK</w:t>
            </w:r>
          </w:p>
          <w:p w:rsidR="0093211F" w:rsidRPr="00FB1C10" w:rsidRDefault="0093211F" w:rsidP="00493B1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2BF" w:rsidRDefault="00C102BF" w:rsidP="002C0CA5">
      <w:pPr>
        <w:spacing w:line="240" w:lineRule="auto"/>
      </w:pPr>
      <w:r>
        <w:separator/>
      </w:r>
    </w:p>
  </w:endnote>
  <w:endnote w:type="continuationSeparator" w:id="0">
    <w:p w:rsidR="00C102BF" w:rsidRDefault="00C102B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2BF" w:rsidRDefault="00C102BF" w:rsidP="002C0CA5">
      <w:pPr>
        <w:spacing w:line="240" w:lineRule="auto"/>
      </w:pPr>
      <w:r>
        <w:separator/>
      </w:r>
    </w:p>
  </w:footnote>
  <w:footnote w:type="continuationSeparator" w:id="0">
    <w:p w:rsidR="00C102BF" w:rsidRDefault="00C102B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537881E6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0B003A"/>
    <w:multiLevelType w:val="hybridMultilevel"/>
    <w:tmpl w:val="BC6AD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B39"/>
    <w:rsid w:val="000834BC"/>
    <w:rsid w:val="00091137"/>
    <w:rsid w:val="000C39D0"/>
    <w:rsid w:val="000C4232"/>
    <w:rsid w:val="00112599"/>
    <w:rsid w:val="00151533"/>
    <w:rsid w:val="00154634"/>
    <w:rsid w:val="001D6909"/>
    <w:rsid w:val="00207BBF"/>
    <w:rsid w:val="00277B0D"/>
    <w:rsid w:val="0029746C"/>
    <w:rsid w:val="002A3F42"/>
    <w:rsid w:val="002A6191"/>
    <w:rsid w:val="002C0CA5"/>
    <w:rsid w:val="00341D25"/>
    <w:rsid w:val="003524D5"/>
    <w:rsid w:val="0036131B"/>
    <w:rsid w:val="00390DB4"/>
    <w:rsid w:val="003B680D"/>
    <w:rsid w:val="003D2A5E"/>
    <w:rsid w:val="00481690"/>
    <w:rsid w:val="00493B1D"/>
    <w:rsid w:val="004B7367"/>
    <w:rsid w:val="004F3996"/>
    <w:rsid w:val="004F5168"/>
    <w:rsid w:val="0052772A"/>
    <w:rsid w:val="00556AE5"/>
    <w:rsid w:val="00566310"/>
    <w:rsid w:val="00580BE5"/>
    <w:rsid w:val="00653733"/>
    <w:rsid w:val="00664C8C"/>
    <w:rsid w:val="006674DC"/>
    <w:rsid w:val="006C766B"/>
    <w:rsid w:val="006D34A0"/>
    <w:rsid w:val="007128CA"/>
    <w:rsid w:val="0072568B"/>
    <w:rsid w:val="00731014"/>
    <w:rsid w:val="00735F91"/>
    <w:rsid w:val="00750A4B"/>
    <w:rsid w:val="00776C63"/>
    <w:rsid w:val="007903AC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57B8"/>
    <w:rsid w:val="009E71F1"/>
    <w:rsid w:val="00A23CB3"/>
    <w:rsid w:val="00A43564"/>
    <w:rsid w:val="00A55EE1"/>
    <w:rsid w:val="00A77A56"/>
    <w:rsid w:val="00B115D6"/>
    <w:rsid w:val="00B16C74"/>
    <w:rsid w:val="00B2721F"/>
    <w:rsid w:val="00B43569"/>
    <w:rsid w:val="00BA33DE"/>
    <w:rsid w:val="00C102BF"/>
    <w:rsid w:val="00CA3F82"/>
    <w:rsid w:val="00CD0414"/>
    <w:rsid w:val="00CD20A6"/>
    <w:rsid w:val="00D03DF0"/>
    <w:rsid w:val="00D0771C"/>
    <w:rsid w:val="00D12881"/>
    <w:rsid w:val="00D5165A"/>
    <w:rsid w:val="00DB3383"/>
    <w:rsid w:val="00DC4191"/>
    <w:rsid w:val="00E016CA"/>
    <w:rsid w:val="00E4596B"/>
    <w:rsid w:val="00E51C8B"/>
    <w:rsid w:val="00E55182"/>
    <w:rsid w:val="00ED11F9"/>
    <w:rsid w:val="00EE4F54"/>
    <w:rsid w:val="00F17173"/>
    <w:rsid w:val="00F572FA"/>
    <w:rsid w:val="00F84577"/>
    <w:rsid w:val="00F968CA"/>
    <w:rsid w:val="00FB2DB7"/>
    <w:rsid w:val="00FB666E"/>
    <w:rsid w:val="00FC6341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DB3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2019-05-10T19:19:00Z</dcterms:created>
  <dcterms:modified xsi:type="dcterms:W3CDTF">2019-05-12T10:26:00Z</dcterms:modified>
</cp:coreProperties>
</file>