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D795B" w:rsidP="002D795B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2D795B">
              <w:rPr>
                <w:rFonts w:ascii="Arial" w:hAnsi="Arial" w:cs="Arial"/>
                <w:bCs/>
                <w:sz w:val="20"/>
                <w:szCs w:val="20"/>
              </w:rPr>
              <w:t>Event history analysis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D795B" w:rsidP="002D795B">
            <w:pPr>
              <w:spacing w:line="240" w:lineRule="auto"/>
              <w:rPr>
                <w:bCs/>
                <w:sz w:val="16"/>
                <w:szCs w:val="16"/>
              </w:rPr>
            </w:pPr>
            <w:r w:rsidRPr="002D795B">
              <w:rPr>
                <w:rFonts w:ascii="Arial" w:hAnsi="Arial" w:cs="Arial"/>
                <w:bCs/>
                <w:sz w:val="16"/>
                <w:szCs w:val="16"/>
              </w:rPr>
              <w:t>Analiza historii zdarzeń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FC72E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angielski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DD0725" w:rsidP="00DD072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  <w:r w:rsidR="00CD0414" w:rsidRPr="008C5679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D0725" w:rsidP="00E6679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6D34A0" w:rsidRPr="006D34A0">
              <w:rPr>
                <w:b/>
                <w:sz w:val="16"/>
                <w:szCs w:val="16"/>
              </w:rPr>
              <w:t>E-</w:t>
            </w:r>
            <w:r>
              <w:rPr>
                <w:b/>
                <w:sz w:val="16"/>
                <w:szCs w:val="16"/>
              </w:rPr>
              <w:t>BDA-</w:t>
            </w:r>
            <w:r w:rsidR="006D34A0" w:rsidRPr="006D34A0">
              <w:rPr>
                <w:b/>
                <w:sz w:val="16"/>
                <w:szCs w:val="16"/>
              </w:rPr>
              <w:t>2S-04L-29_</w:t>
            </w:r>
            <w:r w:rsidR="00E66794">
              <w:rPr>
                <w:b/>
                <w:sz w:val="16"/>
                <w:szCs w:val="16"/>
              </w:rPr>
              <w:t>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statystycznymi stosowanymi do </w:t>
            </w:r>
            <w:r>
              <w:rPr>
                <w:rFonts w:ascii="Arial" w:hAnsi="Arial" w:cs="Arial"/>
                <w:sz w:val="16"/>
                <w:szCs w:val="16"/>
              </w:rPr>
              <w:t>analizy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wystąpienia i rozkładu zdarzeń w czasie. Analiza </w:t>
            </w:r>
            <w:r>
              <w:rPr>
                <w:rFonts w:ascii="Arial" w:hAnsi="Arial" w:cs="Arial"/>
                <w:sz w:val="16"/>
                <w:szCs w:val="16"/>
              </w:rPr>
              <w:t xml:space="preserve">historii zdarzeń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może być użyteczna przy studiowaniu różnych kategorii zdarzeń zarówno w naukach społecznych jak i przyrodniczych (np. utrata pracy, </w:t>
            </w:r>
            <w:r>
              <w:rPr>
                <w:rFonts w:ascii="Arial" w:hAnsi="Arial" w:cs="Arial"/>
                <w:sz w:val="16"/>
                <w:szCs w:val="16"/>
              </w:rPr>
              <w:t>krachy na giełdzie,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zgony, awaria urz</w:t>
            </w:r>
            <w:r>
              <w:rPr>
                <w:rFonts w:ascii="Arial" w:hAnsi="Arial" w:cs="Arial"/>
                <w:sz w:val="16"/>
                <w:szCs w:val="16"/>
              </w:rPr>
              <w:t>ądzeń</w:t>
            </w:r>
            <w:r w:rsidRPr="00107772">
              <w:rPr>
                <w:rFonts w:ascii="Arial" w:hAnsi="Arial" w:cs="Arial"/>
                <w:sz w:val="16"/>
                <w:szCs w:val="16"/>
              </w:rPr>
              <w:t>)</w:t>
            </w:r>
            <w:r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151533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Wprowadzenie do analizy </w:t>
            </w:r>
            <w:r>
              <w:rPr>
                <w:rFonts w:ascii="Arial" w:hAnsi="Arial" w:cs="Arial"/>
                <w:sz w:val="16"/>
                <w:szCs w:val="16"/>
              </w:rPr>
              <w:t>historii zdarzeń</w:t>
            </w:r>
          </w:p>
          <w:p w:rsidR="00151533" w:rsidRPr="00107772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bazy danych wykorzystywane przy budowie </w:t>
            </w:r>
            <w:r w:rsidRPr="00107772">
              <w:rPr>
                <w:rFonts w:ascii="Arial" w:hAnsi="Arial" w:cs="Arial"/>
                <w:sz w:val="16"/>
                <w:szCs w:val="16"/>
              </w:rPr>
              <w:t>modeli przeżycia</w:t>
            </w:r>
          </w:p>
          <w:p w:rsidR="00151533" w:rsidRPr="00107772" w:rsidRDefault="00151533" w:rsidP="00151533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Dane kohortowe i przekrojowe</w:t>
            </w:r>
          </w:p>
          <w:p w:rsidR="00151533" w:rsidRDefault="00151533" w:rsidP="00151533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Dane cenzurowane</w:t>
            </w:r>
          </w:p>
          <w:p w:rsidR="00151533" w:rsidRPr="00107772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Narzędzia wykorzystywane przy budowie </w:t>
            </w:r>
            <w:r w:rsidRPr="00107772">
              <w:rPr>
                <w:rFonts w:ascii="Arial" w:hAnsi="Arial" w:cs="Arial"/>
                <w:sz w:val="16"/>
                <w:szCs w:val="16"/>
              </w:rPr>
              <w:t>modeli przeżycia</w:t>
            </w:r>
            <w:r>
              <w:rPr>
                <w:rFonts w:ascii="Arial" w:hAnsi="Arial" w:cs="Arial"/>
                <w:sz w:val="16"/>
                <w:szCs w:val="16"/>
              </w:rPr>
              <w:t>: R, PS IMAGO, gretl, SAS, Stata</w:t>
            </w:r>
          </w:p>
          <w:p w:rsidR="00151533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Powtórka: </w:t>
            </w:r>
            <w:r w:rsidRPr="00107772">
              <w:rPr>
                <w:rFonts w:ascii="Arial" w:hAnsi="Arial" w:cs="Arial"/>
                <w:sz w:val="16"/>
                <w:szCs w:val="16"/>
              </w:rPr>
              <w:t>Modele o czasie dyskretnym</w:t>
            </w:r>
            <w:r>
              <w:rPr>
                <w:rFonts w:ascii="Arial" w:hAnsi="Arial" w:cs="Arial"/>
                <w:sz w:val="16"/>
                <w:szCs w:val="16"/>
              </w:rPr>
              <w:t xml:space="preserve"> – modele logitowy i probitowy</w:t>
            </w:r>
          </w:p>
          <w:p w:rsidR="00151533" w:rsidRPr="00107772" w:rsidRDefault="00151533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Teoria, estymacja i weryfikacja</w:t>
            </w:r>
          </w:p>
          <w:p w:rsidR="00151533" w:rsidRPr="00107772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Probabilistyczny model przeżycia</w:t>
            </w:r>
            <w:r>
              <w:rPr>
                <w:rFonts w:ascii="Arial" w:hAnsi="Arial" w:cs="Arial"/>
                <w:sz w:val="16"/>
                <w:szCs w:val="16"/>
              </w:rPr>
              <w:t xml:space="preserve"> o czasie ciągłym</w:t>
            </w:r>
          </w:p>
          <w:p w:rsidR="00151533" w:rsidRPr="00107772" w:rsidRDefault="00151533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Model przeżycia jako rozkład prawdopodobieństwa</w:t>
            </w:r>
          </w:p>
          <w:p w:rsidR="00151533" w:rsidRPr="00107772" w:rsidRDefault="00151533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Funkcje gęstości, dystrybuanty oraz </w:t>
            </w:r>
            <w:r>
              <w:rPr>
                <w:rFonts w:ascii="Arial" w:hAnsi="Arial" w:cs="Arial"/>
                <w:sz w:val="16"/>
                <w:szCs w:val="16"/>
              </w:rPr>
              <w:t>prze</w:t>
            </w:r>
            <w:r w:rsidRPr="00107772">
              <w:rPr>
                <w:rFonts w:ascii="Arial" w:hAnsi="Arial" w:cs="Arial"/>
                <w:sz w:val="16"/>
                <w:szCs w:val="16"/>
              </w:rPr>
              <w:t>życia</w:t>
            </w:r>
          </w:p>
          <w:p w:rsidR="00151533" w:rsidRPr="00107772" w:rsidRDefault="00151533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Funkcja hazardu (intensywności), jej relacje z innymi funkcjami</w:t>
            </w:r>
          </w:p>
          <w:p w:rsidR="00151533" w:rsidRPr="00107772" w:rsidRDefault="00151533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Parametry rozkładu czasu trwania jako charakterystyki procesu przeżycia</w:t>
            </w:r>
          </w:p>
          <w:p w:rsidR="00151533" w:rsidRPr="00107772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Modele nieparametryczne</w:t>
            </w:r>
          </w:p>
          <w:p w:rsidR="00151533" w:rsidRPr="00107772" w:rsidRDefault="00151533" w:rsidP="00151533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Tradycyjna metoda </w:t>
            </w:r>
            <w:r>
              <w:rPr>
                <w:rFonts w:ascii="Arial" w:hAnsi="Arial" w:cs="Arial"/>
                <w:sz w:val="16"/>
                <w:szCs w:val="16"/>
              </w:rPr>
              <w:t>budowy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tablic trwania życia</w:t>
            </w:r>
          </w:p>
          <w:p w:rsidR="00151533" w:rsidRPr="00107772" w:rsidRDefault="00151533" w:rsidP="00151533">
            <w:pPr>
              <w:numPr>
                <w:ilvl w:val="0"/>
                <w:numId w:val="5"/>
              </w:numPr>
              <w:tabs>
                <w:tab w:val="left" w:pos="991"/>
              </w:tabs>
              <w:spacing w:line="240" w:lineRule="auto"/>
              <w:ind w:hanging="143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Konstrukcja tablic trwania życia przy zastosowaniu metod Kaplana-Meiera i Nelsona-Aalena</w:t>
            </w:r>
          </w:p>
          <w:p w:rsidR="00151533" w:rsidRPr="00107772" w:rsidRDefault="00151533" w:rsidP="00151533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Esty</w:t>
            </w:r>
            <w:r>
              <w:rPr>
                <w:rFonts w:ascii="Arial" w:hAnsi="Arial" w:cs="Arial"/>
                <w:sz w:val="16"/>
                <w:szCs w:val="16"/>
              </w:rPr>
              <w:t>macja i weryfikacja modeli nieparametrycznych</w:t>
            </w:r>
          </w:p>
          <w:p w:rsidR="00151533" w:rsidRPr="00107772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Modele parametryczne</w:t>
            </w:r>
          </w:p>
          <w:p w:rsidR="00151533" w:rsidRDefault="00151533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proporcjonalnych hazardów PH: wykładniczy, Weibulla, Gompertza, Makehama (dwa ostatnie jako p</w:t>
            </w:r>
            <w:r w:rsidRPr="00107772">
              <w:rPr>
                <w:rFonts w:ascii="Arial" w:hAnsi="Arial" w:cs="Arial"/>
                <w:sz w:val="16"/>
                <w:szCs w:val="16"/>
              </w:rPr>
              <w:t>arametryczne modele ludzkiego procesu przeżycia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151533" w:rsidRPr="00107772" w:rsidRDefault="00151533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Modele przyspieszonej porażki </w:t>
            </w:r>
            <w:r w:rsidRPr="00107772">
              <w:rPr>
                <w:rFonts w:ascii="Arial" w:hAnsi="Arial" w:cs="Arial"/>
                <w:sz w:val="16"/>
                <w:szCs w:val="16"/>
              </w:rPr>
              <w:t>AFT</w:t>
            </w:r>
            <w:r>
              <w:rPr>
                <w:rFonts w:ascii="Arial" w:hAnsi="Arial" w:cs="Arial"/>
                <w:sz w:val="16"/>
                <w:szCs w:val="16"/>
              </w:rPr>
              <w:t xml:space="preserve">: wykładniczy, Weibulla, log-logistyczny, </w:t>
            </w:r>
            <w:r w:rsidRPr="00107772">
              <w:rPr>
                <w:rFonts w:ascii="Arial" w:hAnsi="Arial" w:cs="Arial"/>
                <w:sz w:val="16"/>
                <w:szCs w:val="16"/>
              </w:rPr>
              <w:t>logarytmiczno-normalny</w:t>
            </w:r>
            <w:r>
              <w:rPr>
                <w:rFonts w:ascii="Arial" w:hAnsi="Arial" w:cs="Arial"/>
                <w:sz w:val="16"/>
                <w:szCs w:val="16"/>
              </w:rPr>
              <w:t>, uogólniony gamma</w:t>
            </w:r>
          </w:p>
          <w:p w:rsidR="00151533" w:rsidRDefault="00151533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107772">
              <w:rPr>
                <w:rFonts w:ascii="Arial" w:hAnsi="Arial" w:cs="Arial"/>
                <w:sz w:val="16"/>
                <w:szCs w:val="16"/>
              </w:rPr>
              <w:t>stymacj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 weryfikacja modeli parametrycznych</w:t>
            </w:r>
          </w:p>
          <w:p w:rsidR="00151533" w:rsidRPr="00107772" w:rsidRDefault="00151533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hazardu z nieobserwowalną heterogenicznością</w:t>
            </w:r>
          </w:p>
          <w:p w:rsidR="00151533" w:rsidRPr="00107772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Modele semiparametryczne</w:t>
            </w:r>
          </w:p>
          <w:p w:rsidR="00151533" w:rsidRPr="00107772" w:rsidRDefault="00151533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Model Coxa proporcjonalnych hazardów</w:t>
            </w:r>
          </w:p>
          <w:p w:rsidR="00151533" w:rsidRPr="00107772" w:rsidRDefault="00151533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Weryfikacja założenia proporcjonalnych hazardów</w:t>
            </w:r>
          </w:p>
          <w:p w:rsidR="00151533" w:rsidRPr="00107772" w:rsidRDefault="00151533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107772">
              <w:rPr>
                <w:rFonts w:ascii="Arial" w:hAnsi="Arial" w:cs="Arial"/>
                <w:sz w:val="16"/>
                <w:szCs w:val="16"/>
              </w:rPr>
              <w:t>stymacja i weryfikacja</w:t>
            </w:r>
            <w:r>
              <w:rPr>
                <w:rFonts w:ascii="Arial" w:hAnsi="Arial" w:cs="Arial"/>
                <w:sz w:val="16"/>
                <w:szCs w:val="16"/>
              </w:rPr>
              <w:t xml:space="preserve"> modeli semiparametrycznych</w:t>
            </w:r>
          </w:p>
          <w:p w:rsidR="00151533" w:rsidRPr="00107772" w:rsidRDefault="00151533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Model semiparametryczny ze zmiennymi zależnymi od czasu</w:t>
            </w:r>
          </w:p>
          <w:p w:rsidR="00151533" w:rsidRPr="00151533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51533">
              <w:rPr>
                <w:rFonts w:ascii="Arial" w:hAnsi="Arial" w:cs="Arial"/>
                <w:sz w:val="16"/>
                <w:szCs w:val="16"/>
              </w:rPr>
              <w:t>Modele wielowymiarowych czasów trwania. Model ryzyk konkurencyjnych.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posiada wiedzę na temat pozyskiwania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empirycznych dotyczących czasów trwania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oraz o zaawansowanych technikach pozwalających na ich modelowanie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wie w jaki sposób właściwie zidentyfikować </w:t>
            </w:r>
            <w:r w:rsidR="00912188" w:rsidRPr="00107772">
              <w:rPr>
                <w:rFonts w:ascii="Arial" w:hAnsi="Arial" w:cs="Arial"/>
                <w:sz w:val="16"/>
                <w:szCs w:val="16"/>
              </w:rPr>
              <w:t>istot</w:t>
            </w:r>
            <w:r w:rsidR="00912188">
              <w:rPr>
                <w:rFonts w:ascii="Arial" w:hAnsi="Arial" w:cs="Arial"/>
                <w:sz w:val="16"/>
                <w:szCs w:val="16"/>
              </w:rPr>
              <w:t>ę badanego procesu oraz</w:t>
            </w:r>
            <w:r w:rsidR="00912188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12188">
              <w:rPr>
                <w:rFonts w:ascii="Arial" w:hAnsi="Arial" w:cs="Arial"/>
                <w:sz w:val="16"/>
                <w:szCs w:val="16"/>
              </w:rPr>
              <w:t>właściwie</w:t>
            </w:r>
            <w:r w:rsidR="00912188" w:rsidRPr="00107772">
              <w:rPr>
                <w:rFonts w:ascii="Arial" w:hAnsi="Arial" w:cs="Arial"/>
                <w:sz w:val="16"/>
                <w:szCs w:val="16"/>
              </w:rPr>
              <w:t xml:space="preserve"> zbiera</w:t>
            </w:r>
            <w:r w:rsidR="00912188">
              <w:rPr>
                <w:rFonts w:ascii="Arial" w:hAnsi="Arial" w:cs="Arial"/>
                <w:sz w:val="16"/>
                <w:szCs w:val="16"/>
              </w:rPr>
              <w:t>ć</w:t>
            </w:r>
            <w:r w:rsidR="00912188"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 w:rsidR="00912188">
              <w:rPr>
                <w:rFonts w:ascii="Arial" w:hAnsi="Arial" w:cs="Arial"/>
                <w:sz w:val="16"/>
                <w:szCs w:val="16"/>
              </w:rPr>
              <w:t>e z dostępnych baz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12188" w:rsidRPr="0081552D">
              <w:rPr>
                <w:rFonts w:ascii="Arial" w:hAnsi="Arial" w:cs="Arial"/>
                <w:sz w:val="16"/>
                <w:szCs w:val="16"/>
              </w:rPr>
              <w:t xml:space="preserve">zna metody </w:t>
            </w:r>
            <w:r w:rsidR="00912188" w:rsidRPr="00107772">
              <w:rPr>
                <w:rFonts w:ascii="Arial" w:hAnsi="Arial" w:cs="Arial"/>
                <w:sz w:val="16"/>
                <w:szCs w:val="16"/>
              </w:rPr>
              <w:t>statystyczn</w:t>
            </w:r>
            <w:r w:rsidR="00912188">
              <w:rPr>
                <w:rFonts w:ascii="Arial" w:hAnsi="Arial" w:cs="Arial"/>
                <w:sz w:val="16"/>
                <w:szCs w:val="16"/>
              </w:rPr>
              <w:t>e</w:t>
            </w:r>
            <w:r w:rsidR="00912188" w:rsidRPr="00107772">
              <w:rPr>
                <w:rFonts w:ascii="Arial" w:hAnsi="Arial" w:cs="Arial"/>
                <w:sz w:val="16"/>
                <w:szCs w:val="16"/>
              </w:rPr>
              <w:t xml:space="preserve"> stosowan</w:t>
            </w:r>
            <w:r w:rsidR="00912188">
              <w:rPr>
                <w:rFonts w:ascii="Arial" w:hAnsi="Arial" w:cs="Arial"/>
                <w:sz w:val="16"/>
                <w:szCs w:val="16"/>
              </w:rPr>
              <w:t>e</w:t>
            </w:r>
            <w:r w:rsidR="00912188" w:rsidRPr="00107772">
              <w:rPr>
                <w:rFonts w:ascii="Arial" w:hAnsi="Arial" w:cs="Arial"/>
                <w:sz w:val="16"/>
                <w:szCs w:val="16"/>
              </w:rPr>
              <w:t xml:space="preserve"> do studiowania wystąpienia i rozkładu zdarzeń w czasie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w właściwy sposób pozyskiwać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właściw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 przeprowadzonych analiz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do problemów z zakresu analizy </w:t>
            </w:r>
            <w:r>
              <w:rPr>
                <w:rFonts w:ascii="Arial" w:hAnsi="Arial" w:cs="Arial"/>
                <w:sz w:val="16"/>
                <w:szCs w:val="16"/>
              </w:rPr>
              <w:t xml:space="preserve">historii zdarzeń,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wykorzystując narzędzia służące do estymacji modeli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>umiejętność modelowania złożonych procesów społecznych z wykorzystaniem zaawansowanych metod ekonometrycznych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DD072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281FAD" w:rsidRDefault="00091137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81FAD">
              <w:rPr>
                <w:rFonts w:ascii="Arial" w:hAnsi="Arial" w:cs="Arial"/>
                <w:sz w:val="16"/>
                <w:szCs w:val="16"/>
                <w:lang w:val="en-US"/>
              </w:rPr>
              <w:t>D.R. Cox, Regression Models and Life Tables (with Discussion), Journal of the Royal Statistical Society, Series B 34, 187-220, 1972.</w:t>
            </w:r>
          </w:p>
          <w:p w:rsidR="00091137" w:rsidRPr="00281FAD" w:rsidRDefault="00091137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81FAD">
              <w:rPr>
                <w:rFonts w:ascii="Arial" w:hAnsi="Arial" w:cs="Arial"/>
                <w:sz w:val="16"/>
                <w:szCs w:val="16"/>
                <w:lang w:val="en-US"/>
              </w:rPr>
              <w:t>N. Kiefer, Economic Duration Data and Hazard Functions, Journal of Economic Literature, 26, 646-679, 1988.</w:t>
            </w:r>
          </w:p>
          <w:p w:rsidR="00091137" w:rsidRPr="003524D5" w:rsidRDefault="00091137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281FAD">
              <w:rPr>
                <w:rFonts w:ascii="Arial" w:hAnsi="Arial" w:cs="Arial"/>
                <w:sz w:val="16"/>
                <w:szCs w:val="16"/>
                <w:lang w:val="en-US"/>
              </w:rPr>
              <w:t xml:space="preserve">J.D. Kalbfleisch, R.L. Prentice, The Statistical Analysis of Failure Time Data. </w:t>
            </w:r>
            <w:r w:rsidRPr="003524D5">
              <w:rPr>
                <w:rFonts w:ascii="Arial" w:hAnsi="Arial" w:cs="Arial"/>
                <w:sz w:val="16"/>
                <w:szCs w:val="16"/>
              </w:rPr>
              <w:t>Second Edition, Hoboken 2002.</w:t>
            </w:r>
          </w:p>
          <w:p w:rsidR="00091137" w:rsidRPr="00281FAD" w:rsidRDefault="00091137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81FAD">
              <w:rPr>
                <w:rFonts w:ascii="Arial" w:hAnsi="Arial" w:cs="Arial"/>
                <w:sz w:val="16"/>
                <w:szCs w:val="16"/>
                <w:lang w:val="de-DE"/>
              </w:rPr>
              <w:t xml:space="preserve">D.G. Kleinbaum, M. Klein, Survival Analysis. </w:t>
            </w:r>
            <w:r w:rsidRPr="00281FAD">
              <w:rPr>
                <w:rFonts w:ascii="Arial" w:hAnsi="Arial" w:cs="Arial"/>
                <w:sz w:val="16"/>
                <w:szCs w:val="16"/>
                <w:lang w:val="en-US"/>
              </w:rPr>
              <w:t>A Self-Learning Text, New York 2005.</w:t>
            </w:r>
          </w:p>
          <w:p w:rsidR="00091137" w:rsidRPr="00281FAD" w:rsidRDefault="00091137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81FAD">
              <w:rPr>
                <w:rFonts w:ascii="Arial" w:hAnsi="Arial" w:cs="Arial"/>
                <w:sz w:val="16"/>
                <w:szCs w:val="16"/>
                <w:lang w:val="en-US"/>
              </w:rPr>
              <w:t>A.C. Cameron, P.K. Trivedi, Microeconometrics: Methods and Applications, Cambridge University Press, New York 2005.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A77A56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D12881">
              <w:rPr>
                <w:rFonts w:ascii="Arial" w:hAnsi="Arial" w:cs="Arial"/>
                <w:sz w:val="16"/>
                <w:szCs w:val="16"/>
              </w:rPr>
              <w:t>wiedzę na temat pozyskiwania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danych</w:t>
            </w:r>
            <w:r w:rsidR="00D12881">
              <w:rPr>
                <w:rFonts w:ascii="Arial" w:hAnsi="Arial" w:cs="Arial"/>
                <w:sz w:val="16"/>
                <w:szCs w:val="16"/>
              </w:rPr>
              <w:t xml:space="preserve"> empirycznych dotyczących czasów trwania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12881">
              <w:rPr>
                <w:rFonts w:ascii="Arial" w:hAnsi="Arial" w:cs="Arial"/>
                <w:sz w:val="16"/>
                <w:szCs w:val="16"/>
              </w:rPr>
              <w:t>oraz o zaawansowanych technikach pozwalających na ich modelowanie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D12881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wie w jaki sposób właściwie zidentyfikować </w:t>
            </w:r>
            <w:r w:rsidRPr="00107772">
              <w:rPr>
                <w:rFonts w:ascii="Arial" w:hAnsi="Arial" w:cs="Arial"/>
                <w:sz w:val="16"/>
                <w:szCs w:val="16"/>
              </w:rPr>
              <w:t>istot</w:t>
            </w:r>
            <w:r>
              <w:rPr>
                <w:rFonts w:ascii="Arial" w:hAnsi="Arial" w:cs="Arial"/>
                <w:sz w:val="16"/>
                <w:szCs w:val="16"/>
              </w:rPr>
              <w:t>ę badanego procesu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właściwie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zbiera</w:t>
            </w:r>
            <w:r>
              <w:rPr>
                <w:rFonts w:ascii="Arial" w:hAnsi="Arial" w:cs="Arial"/>
                <w:sz w:val="16"/>
                <w:szCs w:val="16"/>
              </w:rPr>
              <w:t>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z dostępnych baz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A77A56" w:rsidP="006478A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zna metody </w:t>
            </w:r>
            <w:r w:rsidRPr="00107772">
              <w:rPr>
                <w:rFonts w:ascii="Arial" w:hAnsi="Arial" w:cs="Arial"/>
                <w:sz w:val="16"/>
                <w:szCs w:val="16"/>
              </w:rPr>
              <w:t>statystyczn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stosowan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do studiowania wystąpienia i rozkładu zdarzeń w czasie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566310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 właściwy sposób pozyskiwać</w:t>
            </w:r>
            <w:r w:rsidR="00A77A56"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oraz</w:t>
            </w:r>
            <w:r w:rsidR="00A77A56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>właściw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 przeprowadzonych analiz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A77A56" w:rsidP="0056631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do problemów z zakresu analizy </w:t>
            </w:r>
            <w:r>
              <w:rPr>
                <w:rFonts w:ascii="Arial" w:hAnsi="Arial" w:cs="Arial"/>
                <w:sz w:val="16"/>
                <w:szCs w:val="16"/>
              </w:rPr>
              <w:t xml:space="preserve">historii zdarzeń, </w:t>
            </w:r>
            <w:r w:rsidR="00566310">
              <w:rPr>
                <w:rFonts w:ascii="Arial" w:hAnsi="Arial" w:cs="Arial"/>
                <w:sz w:val="16"/>
                <w:szCs w:val="16"/>
              </w:rPr>
              <w:t>wykorzystując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narzędzi</w:t>
            </w:r>
            <w:r w:rsidR="00566310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 służące do estymacji modeli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U02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A77A56" w:rsidP="0056631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 xml:space="preserve">umiejętność </w:t>
            </w:r>
            <w:r w:rsidR="00566310">
              <w:rPr>
                <w:rFonts w:ascii="Arial" w:hAnsi="Arial" w:cs="Arial"/>
                <w:sz w:val="16"/>
                <w:szCs w:val="16"/>
              </w:rPr>
              <w:t>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DC4191" w:rsidRPr="0052772A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3E4" w:rsidRDefault="005723E4" w:rsidP="002C0CA5">
      <w:pPr>
        <w:spacing w:line="240" w:lineRule="auto"/>
      </w:pPr>
      <w:r>
        <w:separator/>
      </w:r>
    </w:p>
  </w:endnote>
  <w:endnote w:type="continuationSeparator" w:id="0">
    <w:p w:rsidR="005723E4" w:rsidRDefault="005723E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3E4" w:rsidRDefault="005723E4" w:rsidP="002C0CA5">
      <w:pPr>
        <w:spacing w:line="240" w:lineRule="auto"/>
      </w:pPr>
      <w:r>
        <w:separator/>
      </w:r>
    </w:p>
  </w:footnote>
  <w:footnote w:type="continuationSeparator" w:id="0">
    <w:p w:rsidR="005723E4" w:rsidRDefault="005723E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81FAD"/>
    <w:rsid w:val="002C0CA5"/>
    <w:rsid w:val="002D795B"/>
    <w:rsid w:val="00341D25"/>
    <w:rsid w:val="003524D5"/>
    <w:rsid w:val="0036131B"/>
    <w:rsid w:val="003B680D"/>
    <w:rsid w:val="00481690"/>
    <w:rsid w:val="004831FF"/>
    <w:rsid w:val="004F5168"/>
    <w:rsid w:val="0052772A"/>
    <w:rsid w:val="00566310"/>
    <w:rsid w:val="005723E4"/>
    <w:rsid w:val="00573CF3"/>
    <w:rsid w:val="005D6D85"/>
    <w:rsid w:val="00650281"/>
    <w:rsid w:val="006674DC"/>
    <w:rsid w:val="00691CAD"/>
    <w:rsid w:val="006C766B"/>
    <w:rsid w:val="006D34A0"/>
    <w:rsid w:val="0072568B"/>
    <w:rsid w:val="00735F91"/>
    <w:rsid w:val="00777DE8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B2721F"/>
    <w:rsid w:val="00CD0414"/>
    <w:rsid w:val="00D12881"/>
    <w:rsid w:val="00D5535F"/>
    <w:rsid w:val="00DC4191"/>
    <w:rsid w:val="00DD0725"/>
    <w:rsid w:val="00E4596B"/>
    <w:rsid w:val="00E66794"/>
    <w:rsid w:val="00ED11F9"/>
    <w:rsid w:val="00EE4F54"/>
    <w:rsid w:val="00F17173"/>
    <w:rsid w:val="00FB2DB7"/>
    <w:rsid w:val="00FC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906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2019-05-08T13:26:00Z</dcterms:created>
  <dcterms:modified xsi:type="dcterms:W3CDTF">2019-05-12T10:33:00Z</dcterms:modified>
</cp:coreProperties>
</file>