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778"/>
        <w:gridCol w:w="640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2442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sieciowe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2210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244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Network serivices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FD5301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D5301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09681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C53B2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101B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344D48" w:rsidP="00750CD6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D349B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B1EAB" w:rsidRDefault="003B1EAB" w:rsidP="003B1E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6048A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</w:p>
          <w:p w:rsidR="00CD0414" w:rsidRPr="00CD0414" w:rsidRDefault="003B1EAB" w:rsidP="003B1EA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46EF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46EF3">
              <w:rPr>
                <w:b/>
                <w:sz w:val="16"/>
                <w:szCs w:val="16"/>
              </w:rPr>
              <w:t>ZIM-IiE-2S-01Z-6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75226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d</w:t>
            </w:r>
            <w:r w:rsidRPr="00752269">
              <w:rPr>
                <w:b/>
                <w:bCs/>
                <w:sz w:val="16"/>
                <w:szCs w:val="16"/>
                <w:lang w:val="en-GB"/>
              </w:rPr>
              <w:t>r inż. Jarosław Kurek</w:t>
            </w: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12442D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 inż. Jarosław Kurek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3931" w:rsidRPr="008E3931" w:rsidRDefault="008E3931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E3931">
              <w:rPr>
                <w:b/>
                <w:bCs/>
                <w:sz w:val="16"/>
                <w:szCs w:val="16"/>
              </w:rPr>
              <w:t>Wydział Zastosowań Informatyki i Matematyki, Katedra Zastosowań Informatyki</w:t>
            </w:r>
          </w:p>
          <w:p w:rsidR="00ED11F9" w:rsidRPr="00582090" w:rsidRDefault="00827076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Katedra Zastosowań Informatyki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E3931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E3931">
              <w:rPr>
                <w:b/>
                <w:bCs/>
                <w:sz w:val="16"/>
                <w:szCs w:val="16"/>
              </w:rPr>
              <w:t>Wydział Zastosowań Informatyki i Matematyki,</w:t>
            </w:r>
            <w:r w:rsidR="00827076">
              <w:rPr>
                <w:b/>
                <w:bCs/>
                <w:sz w:val="16"/>
                <w:szCs w:val="16"/>
              </w:rPr>
              <w:t xml:space="preserve"> Katedra Zastosowań Informatyki</w:t>
            </w:r>
          </w:p>
        </w:tc>
      </w:tr>
      <w:tr w:rsidR="00ED11F9" w:rsidRPr="00B37B5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277820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Assumption and goals</w:t>
            </w:r>
            <w:r w:rsidR="00750B5D"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277820" w:rsidRDefault="00277820" w:rsidP="00CA5989">
            <w:pPr>
              <w:spacing w:line="240" w:lineRule="auto"/>
              <w:rPr>
                <w:sz w:val="16"/>
                <w:szCs w:val="16"/>
              </w:rPr>
            </w:pPr>
          </w:p>
          <w:p w:rsidR="00277820" w:rsidRPr="00277820" w:rsidRDefault="00277820" w:rsidP="00277820">
            <w:pPr>
              <w:spacing w:line="240" w:lineRule="auto"/>
              <w:rPr>
                <w:sz w:val="16"/>
                <w:szCs w:val="16"/>
                <w:lang w:val="en"/>
              </w:rPr>
            </w:pPr>
            <w:r>
              <w:rPr>
                <w:sz w:val="16"/>
                <w:szCs w:val="16"/>
                <w:lang w:val="en"/>
              </w:rPr>
              <w:t>Providing knowledge to</w:t>
            </w:r>
            <w:r w:rsidRPr="00277820">
              <w:rPr>
                <w:sz w:val="16"/>
                <w:szCs w:val="16"/>
                <w:lang w:val="en"/>
              </w:rPr>
              <w:t xml:space="preserve"> students </w:t>
            </w:r>
            <w:r>
              <w:rPr>
                <w:sz w:val="16"/>
                <w:szCs w:val="16"/>
                <w:lang w:val="en"/>
              </w:rPr>
              <w:t xml:space="preserve">about basic network services, </w:t>
            </w:r>
            <w:r w:rsidRPr="00277820">
              <w:rPr>
                <w:sz w:val="16"/>
                <w:szCs w:val="16"/>
                <w:lang w:val="en"/>
              </w:rPr>
              <w:t>principles of operation of network servic</w:t>
            </w:r>
            <w:r>
              <w:rPr>
                <w:sz w:val="16"/>
                <w:szCs w:val="16"/>
                <w:lang w:val="en"/>
              </w:rPr>
              <w:t xml:space="preserve">es in various operating systems, </w:t>
            </w:r>
            <w:r w:rsidRPr="00277820">
              <w:rPr>
                <w:sz w:val="16"/>
                <w:szCs w:val="16"/>
                <w:lang w:val="en"/>
              </w:rPr>
              <w:t>implementing networ</w:t>
            </w:r>
            <w:r>
              <w:rPr>
                <w:sz w:val="16"/>
                <w:szCs w:val="16"/>
                <w:lang w:val="en"/>
              </w:rPr>
              <w:t xml:space="preserve">k services in Linux and Windows, </w:t>
            </w:r>
            <w:r w:rsidRPr="00277820">
              <w:rPr>
                <w:sz w:val="16"/>
                <w:szCs w:val="16"/>
                <w:lang w:val="en"/>
              </w:rPr>
              <w:t>skills of implementing networ</w:t>
            </w:r>
            <w:r>
              <w:rPr>
                <w:sz w:val="16"/>
                <w:szCs w:val="16"/>
                <w:lang w:val="en"/>
              </w:rPr>
              <w:t xml:space="preserve">k services in Linux and Windows, </w:t>
            </w:r>
            <w:r w:rsidRPr="00277820">
              <w:rPr>
                <w:sz w:val="16"/>
                <w:szCs w:val="16"/>
                <w:lang w:val="en"/>
              </w:rPr>
              <w:t>reminder of knowledge from the basic subject of computer networks</w:t>
            </w:r>
            <w:r>
              <w:rPr>
                <w:sz w:val="16"/>
                <w:szCs w:val="16"/>
                <w:lang w:val="en"/>
              </w:rPr>
              <w:t>.</w:t>
            </w:r>
          </w:p>
          <w:p w:rsidR="00CA5989" w:rsidRPr="00277820" w:rsidRDefault="00CA5989" w:rsidP="00CA5989">
            <w:pPr>
              <w:spacing w:line="240" w:lineRule="auto"/>
              <w:rPr>
                <w:sz w:val="16"/>
                <w:szCs w:val="16"/>
                <w:lang w:val="en-GB"/>
              </w:rPr>
            </w:pPr>
          </w:p>
          <w:p w:rsidR="00750B5D" w:rsidRPr="00750B5D" w:rsidRDefault="00277820" w:rsidP="00CD041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Description</w:t>
            </w:r>
            <w:r w:rsidR="00750B5D" w:rsidRPr="00750B5D">
              <w:rPr>
                <w:b/>
                <w:sz w:val="16"/>
                <w:szCs w:val="16"/>
              </w:rPr>
              <w:t>: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Information on computer networks, network layers, network devices, TCP / IP stack on operating systems. In general, information on existing network services, the distribution and usefulness of network services, current trends and implementation difficulties.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DNS service. The assumptions of the DNS service. Hierarchical and recursive architecture. Example of a client-server DNS dialog. Types of resource records. DNS delegations and DNS propagation. Creating DNS zones.</w:t>
            </w:r>
          </w:p>
          <w:p w:rsid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 Protocol and DHCP service - dynamic configuration of IP hosts. Detailed description of DHCP. Creating a DHCP pool, MAC reservations, and exclusions. </w:t>
            </w:r>
            <w:r w:rsidRPr="00B37B5B">
              <w:rPr>
                <w:rFonts w:ascii="Arial" w:hAnsi="Arial" w:cs="Arial"/>
                <w:sz w:val="16"/>
                <w:szCs w:val="16"/>
              </w:rPr>
              <w:t>DHCP Relay operation and use. Creating user classes.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HTTP protocol. The structure of HTTP messages. MIME specification. Basic Authentication authentication. Variable Cookies. Caching documents. HTTP Persistent Connections. HTTP Proxy servers. Secure HTTPS protocol.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SMTP / POP3 / IMAP service. Overview of the service and protocols. The advantages and disadvantages of solutions. Security methods.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FTP service. Discussing the differences and problems between passive work and active work. Security methods.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NAT service - network address translation. Using non-routable addresses in the network for internal subnet addressing. Advantages and disadvantages of the service. SNAT vs DNAT techniques. Internet connection division.</w:t>
            </w:r>
          </w:p>
          <w:p w:rsidR="00B37B5B" w:rsidRPr="00B37B5B" w:rsidRDefault="001B33B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Internet Information Services</w:t>
            </w:r>
            <w:r w:rsidR="005A0C52">
              <w:rPr>
                <w:rFonts w:ascii="Arial" w:hAnsi="Arial" w:cs="Arial"/>
                <w:sz w:val="16"/>
                <w:szCs w:val="16"/>
                <w:lang w:val="en-GB"/>
              </w:rPr>
              <w:t xml:space="preserve"> (IIS)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  <w:lang w:val="en-GB"/>
              </w:rPr>
              <w:t>: Discussing different approach how to expose websites on the Internet.</w:t>
            </w:r>
            <w:r w:rsidR="00B37B5B" w:rsidRPr="00B37B5B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Methods provide high quality QoS services. Link division and limitations. Speaking of HTB queuing algorithms, classless SFQ queuing algorithm. Filtration methods.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VPN service, part 1 - creating virtual private networks. Discussion of IPsec, PPTP, OpenVPN implementation.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VPN service part 2 - creation of virtual private networks. Discussion of IPsec, PPTP, OpenVPN implementation.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RADIUS service - remote user authentication service. Operation of the RADIUS protocol. Application in wireless networks.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Active Directory / LDAP service. Overview of the service and protocol. The operation of AD DC and backup service. Part 1.</w:t>
            </w:r>
          </w:p>
          <w:p w:rsidR="00B37B5B" w:rsidRPr="00B37B5B" w:rsidRDefault="00B37B5B" w:rsidP="00B37B5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Active Directory / LDAP service. Overview of the service and protocol. </w:t>
            </w:r>
            <w:r w:rsidRPr="00B37B5B">
              <w:rPr>
                <w:rFonts w:ascii="Arial" w:hAnsi="Arial" w:cs="Arial"/>
                <w:sz w:val="16"/>
                <w:szCs w:val="16"/>
              </w:rPr>
              <w:t>The operation of AD DC and backup service. Part 2.</w:t>
            </w:r>
          </w:p>
          <w:p w:rsidR="0097629B" w:rsidRDefault="0097629B" w:rsidP="0097629B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7B5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7B5B">
              <w:rPr>
                <w:rFonts w:ascii="Arial" w:hAnsi="Arial" w:cs="Arial"/>
                <w:sz w:val="16"/>
                <w:szCs w:val="16"/>
              </w:rPr>
              <w:t>Subjects of laboratory exercises:</w:t>
            </w:r>
          </w:p>
          <w:p w:rsidR="00B37B5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1.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mplementation of the DHCP Windows / Linux service.</w:t>
            </w:r>
          </w:p>
          <w:p w:rsidR="00B37B5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2.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implementation of the DNS Windows / Linux service.</w:t>
            </w:r>
          </w:p>
          <w:p w:rsidR="00B37B5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 I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mplementation of the HTTP Windows / Linux service.</w:t>
            </w:r>
          </w:p>
          <w:p w:rsidR="00B37B5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4.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mplementation of the Windows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Linux NAT / QoS service.</w:t>
            </w:r>
          </w:p>
          <w:p w:rsidR="00B37B5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5.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implementation of the WindowsLinux VPN service.</w:t>
            </w:r>
          </w:p>
          <w:p w:rsidR="0097629B" w:rsidRPr="00B37B5B" w:rsidRDefault="00B37B5B" w:rsidP="00B37B5B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 xml:space="preserve">6.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B37B5B">
              <w:rPr>
                <w:rFonts w:ascii="Arial" w:hAnsi="Arial" w:cs="Arial"/>
                <w:sz w:val="16"/>
                <w:szCs w:val="16"/>
                <w:lang w:val="en-GB"/>
              </w:rPr>
              <w:t>mplementation of the Active Directo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ry / LDAP WindowsLinux service.</w:t>
            </w:r>
          </w:p>
          <w:p w:rsidR="00750B5D" w:rsidRPr="00B37B5B" w:rsidRDefault="00750B5D" w:rsidP="00CD0414">
            <w:pPr>
              <w:spacing w:line="240" w:lineRule="auto"/>
              <w:rPr>
                <w:sz w:val="16"/>
                <w:szCs w:val="16"/>
                <w:lang w:val="en-GB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A2385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1392E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B6DF7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Minimum podstawowa wiedza z sieci komputerowych i systemów komputerowych (Linux/Windows)</w:t>
            </w:r>
          </w:p>
        </w:tc>
      </w:tr>
      <w:tr w:rsidR="00ED11F9" w:rsidTr="008974D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375BE" w:rsidRDefault="00B15AA5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D2393E" w:rsidRPr="001E4CCD">
              <w:rPr>
                <w:rFonts w:ascii="Arial" w:hAnsi="Arial" w:cs="Arial"/>
                <w:sz w:val="16"/>
                <w:szCs w:val="16"/>
              </w:rPr>
              <w:t xml:space="preserve"> 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77A56" w:rsidRDefault="00D2393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Posiada rozszerzoną wiedzę z zakresu tworzenia, eksploatacji oraz oceny różnych klas systemów informatycznych (ich efektywności, rozwoju i administrowania nimi), znajdujących zastosowanie we wszystkich obiektach gospodarczych, instytucjach finansowych i publicznych, przedsiębiorstwach  oraz w jednostkach administracji państwowej i terenowej.</w:t>
            </w: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71BC" w:rsidRPr="001E4CCD">
              <w:rPr>
                <w:rFonts w:ascii="Arial" w:hAnsi="Arial" w:cs="Arial"/>
                <w:sz w:val="16"/>
                <w:szCs w:val="16"/>
              </w:rPr>
              <w:t xml:space="preserve"> Posiada umiejętność analizy, projektowania i testowania systemów informatycznych z wykorzystaniem metodyk, technik i narzędzi wspomagających zarządzanie projektami.</w:t>
            </w:r>
          </w:p>
          <w:p w:rsidR="008375BE" w:rsidRPr="00582090" w:rsidRDefault="008375BE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  <w:vAlign w:val="center"/>
          </w:tcPr>
          <w:p w:rsidR="00ED11F9" w:rsidRDefault="00ED11F9" w:rsidP="006671BC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 w:rsidR="006671BC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:</w:t>
            </w:r>
          </w:p>
          <w:p w:rsidR="006671BC" w:rsidRDefault="006671BC" w:rsidP="006671BC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6671BC" w:rsidRPr="006671BC" w:rsidRDefault="006671BC" w:rsidP="006671B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1 - </w:t>
            </w:r>
            <w:r w:rsidR="008974D5" w:rsidRPr="001E4CCD">
              <w:rPr>
                <w:rFonts w:ascii="Arial" w:hAnsi="Arial" w:cs="Arial"/>
                <w:sz w:val="16"/>
                <w:szCs w:val="16"/>
              </w:rPr>
              <w:t xml:space="preserve"> 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52050" w:rsidRPr="006C2A45" w:rsidRDefault="00E52050" w:rsidP="00E520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ED11F9" w:rsidRPr="009E71F1" w:rsidRDefault="00E52050" w:rsidP="00E5205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22C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prowadzącego laboratorium na podstawie zrealizowanym ćwiczeń, ewentulne 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A9053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 w:rsidR="0048340A"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Andrew S. Tanenbaum  "Sieci komputerowe", Helion, Warszawa, 2004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Cieślak K., Windows i sieci komputerowe. Helion, Gliwice, 1998.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2. Comer D.E., Sieci komputerowe i intersieci. WNT, Warszawa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3. Comer D.E., Sieci komputerowe TCP/IP. WNT, Warszawa 1999.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4. Haugdahl J.S., Diagnozowanie i utrzymanie sieci. Księga eksperta. Helion, Gliwice 2001.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5. Krysiak K., Sieci komputerowe. Kompendium. Helion, Gliwice,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6. Mucha M., Sieci komputerowe. Budowa i działanie. Helion, Gliwice, 2003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7. Simmons C., Causey J., Microsoft Windows XP w Sieciach dla Ekspertów, ReadMe 2003.</w:t>
            </w:r>
          </w:p>
          <w:p w:rsidR="00ED11F9" w:rsidRPr="00780A46" w:rsidRDefault="00780A46" w:rsidP="00780A46">
            <w:pPr>
              <w:spacing w:line="240" w:lineRule="auto"/>
              <w:rPr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8. Sportack M., Sieci komputerowe - księga eksperta. Helion, Gliwice 2004.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244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6181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 xml:space="preserve"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 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AB4A00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7B5D45" w:rsidRPr="001E4CCD" w:rsidRDefault="007B5D45" w:rsidP="007B5D45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rozszerzoną wiedzę z zakresu tworzenia, eksploatacji oraz oceny różnych klas systemów informatycznych (ich efektywności, rozwoju i administrowania nimi), znajdujących zastosowanie we wszystkich obiektach gospodarczych, instytucjach finansowych i publicznych, przedsiębiorstwach  oraz w jednostkach administracji państwowej i terenowej.</w:t>
            </w:r>
          </w:p>
        </w:tc>
        <w:tc>
          <w:tcPr>
            <w:tcW w:w="3001" w:type="dxa"/>
          </w:tcPr>
          <w:p w:rsidR="007B5D45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757E5" w:rsidRPr="00FB1C10" w:rsidTr="0093211F">
        <w:tc>
          <w:tcPr>
            <w:tcW w:w="1547" w:type="dxa"/>
          </w:tcPr>
          <w:p w:rsidR="003757E5" w:rsidRPr="00091137" w:rsidRDefault="003757E5" w:rsidP="003757E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3757E5" w:rsidRPr="001E4CCD" w:rsidRDefault="003757E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umiejętność analizy, projektowania i testowania systemów informatycznych z wykorzystaniem metodyk, technik i narzędzi wspomagających zarządzanie projektami.</w:t>
            </w:r>
          </w:p>
        </w:tc>
        <w:tc>
          <w:tcPr>
            <w:tcW w:w="3001" w:type="dxa"/>
          </w:tcPr>
          <w:p w:rsidR="003757E5" w:rsidRPr="0052772A" w:rsidRDefault="003757E5" w:rsidP="003757E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3757E5">
              <w:rPr>
                <w:rFonts w:cstheme="minorHAnsi"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3757E5" w:rsidRPr="00FB1C10" w:rsidRDefault="003757E5" w:rsidP="003757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757E5" w:rsidRPr="00FB1C10" w:rsidTr="0093211F">
        <w:tc>
          <w:tcPr>
            <w:tcW w:w="1547" w:type="dxa"/>
          </w:tcPr>
          <w:p w:rsidR="003757E5" w:rsidRPr="00091137" w:rsidRDefault="003757E5" w:rsidP="003757E5">
            <w:pPr>
              <w:rPr>
                <w:bCs/>
                <w:sz w:val="18"/>
                <w:szCs w:val="18"/>
              </w:rPr>
            </w:pPr>
            <w:r w:rsidRPr="00FB2877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3757E5" w:rsidRPr="001E4CCD" w:rsidRDefault="003757E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3757E5" w:rsidRPr="0052772A" w:rsidRDefault="003757E5" w:rsidP="003757E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K_K07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3757E5">
              <w:rPr>
                <w:rFonts w:cstheme="minorHAnsi"/>
                <w:sz w:val="18"/>
                <w:szCs w:val="18"/>
              </w:rPr>
              <w:t>P7S_KO</w:t>
            </w:r>
          </w:p>
        </w:tc>
        <w:tc>
          <w:tcPr>
            <w:tcW w:w="1381" w:type="dxa"/>
          </w:tcPr>
          <w:p w:rsidR="003757E5" w:rsidRPr="00FB1C10" w:rsidRDefault="003757E5" w:rsidP="003757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19D" w:rsidRDefault="00BD219D" w:rsidP="002C0CA5">
      <w:pPr>
        <w:spacing w:line="240" w:lineRule="auto"/>
      </w:pPr>
      <w:r>
        <w:separator/>
      </w:r>
    </w:p>
  </w:endnote>
  <w:endnote w:type="continuationSeparator" w:id="0">
    <w:p w:rsidR="00BD219D" w:rsidRDefault="00BD219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19D" w:rsidRDefault="00BD219D" w:rsidP="002C0CA5">
      <w:pPr>
        <w:spacing w:line="240" w:lineRule="auto"/>
      </w:pPr>
      <w:r>
        <w:separator/>
      </w:r>
    </w:p>
  </w:footnote>
  <w:footnote w:type="continuationSeparator" w:id="0">
    <w:p w:rsidR="00BD219D" w:rsidRDefault="00BD219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6818"/>
    <w:rsid w:val="000C4232"/>
    <w:rsid w:val="000D349B"/>
    <w:rsid w:val="0012442D"/>
    <w:rsid w:val="00151533"/>
    <w:rsid w:val="0017441F"/>
    <w:rsid w:val="001B33BB"/>
    <w:rsid w:val="001C3ACE"/>
    <w:rsid w:val="001E4CCD"/>
    <w:rsid w:val="00207BBF"/>
    <w:rsid w:val="002759C2"/>
    <w:rsid w:val="00277820"/>
    <w:rsid w:val="00295F85"/>
    <w:rsid w:val="002C0CA5"/>
    <w:rsid w:val="00341D25"/>
    <w:rsid w:val="00344D48"/>
    <w:rsid w:val="003524D5"/>
    <w:rsid w:val="0036048A"/>
    <w:rsid w:val="0036131B"/>
    <w:rsid w:val="0036181C"/>
    <w:rsid w:val="003757E5"/>
    <w:rsid w:val="003854A9"/>
    <w:rsid w:val="003B1EAB"/>
    <w:rsid w:val="003B2AE8"/>
    <w:rsid w:val="003B680D"/>
    <w:rsid w:val="003C559A"/>
    <w:rsid w:val="003D0986"/>
    <w:rsid w:val="0040594D"/>
    <w:rsid w:val="00446EF3"/>
    <w:rsid w:val="00474DF3"/>
    <w:rsid w:val="00481690"/>
    <w:rsid w:val="0048340A"/>
    <w:rsid w:val="004F5168"/>
    <w:rsid w:val="00503EB8"/>
    <w:rsid w:val="0052772A"/>
    <w:rsid w:val="005540F6"/>
    <w:rsid w:val="00566310"/>
    <w:rsid w:val="005864D7"/>
    <w:rsid w:val="005A0C52"/>
    <w:rsid w:val="006671BC"/>
    <w:rsid w:val="006674DC"/>
    <w:rsid w:val="00696858"/>
    <w:rsid w:val="006A0845"/>
    <w:rsid w:val="006C766B"/>
    <w:rsid w:val="006D34A0"/>
    <w:rsid w:val="007101B1"/>
    <w:rsid w:val="0072568B"/>
    <w:rsid w:val="00735F91"/>
    <w:rsid w:val="00745183"/>
    <w:rsid w:val="00750B5D"/>
    <w:rsid w:val="00750CD6"/>
    <w:rsid w:val="00751A75"/>
    <w:rsid w:val="00752269"/>
    <w:rsid w:val="00753F67"/>
    <w:rsid w:val="00774DCA"/>
    <w:rsid w:val="00775A79"/>
    <w:rsid w:val="00780A46"/>
    <w:rsid w:val="007A3586"/>
    <w:rsid w:val="007B5D45"/>
    <w:rsid w:val="007D736E"/>
    <w:rsid w:val="00822C38"/>
    <w:rsid w:val="00827076"/>
    <w:rsid w:val="008375BE"/>
    <w:rsid w:val="00854F77"/>
    <w:rsid w:val="00860FAB"/>
    <w:rsid w:val="00865EB6"/>
    <w:rsid w:val="008974D5"/>
    <w:rsid w:val="008A3BA2"/>
    <w:rsid w:val="008C5679"/>
    <w:rsid w:val="008E3931"/>
    <w:rsid w:val="008F7E6F"/>
    <w:rsid w:val="00912188"/>
    <w:rsid w:val="0091392E"/>
    <w:rsid w:val="009204A3"/>
    <w:rsid w:val="00922102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7629B"/>
    <w:rsid w:val="009B21A4"/>
    <w:rsid w:val="009B6DF7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F5FB2"/>
    <w:rsid w:val="00B15AA5"/>
    <w:rsid w:val="00B2721F"/>
    <w:rsid w:val="00B37B5B"/>
    <w:rsid w:val="00B43213"/>
    <w:rsid w:val="00B86AC7"/>
    <w:rsid w:val="00BA7C1F"/>
    <w:rsid w:val="00BD219D"/>
    <w:rsid w:val="00BD3D6B"/>
    <w:rsid w:val="00BE714E"/>
    <w:rsid w:val="00C17072"/>
    <w:rsid w:val="00C53B24"/>
    <w:rsid w:val="00C905D6"/>
    <w:rsid w:val="00CA2385"/>
    <w:rsid w:val="00CA5989"/>
    <w:rsid w:val="00CB70F0"/>
    <w:rsid w:val="00CC7D93"/>
    <w:rsid w:val="00CD0414"/>
    <w:rsid w:val="00D12881"/>
    <w:rsid w:val="00D2393E"/>
    <w:rsid w:val="00DC3EDD"/>
    <w:rsid w:val="00DC4191"/>
    <w:rsid w:val="00DD13DC"/>
    <w:rsid w:val="00E4596B"/>
    <w:rsid w:val="00E50AEF"/>
    <w:rsid w:val="00E52050"/>
    <w:rsid w:val="00E952C9"/>
    <w:rsid w:val="00EC2147"/>
    <w:rsid w:val="00ED11F9"/>
    <w:rsid w:val="00EE4F54"/>
    <w:rsid w:val="00F17173"/>
    <w:rsid w:val="00F4631D"/>
    <w:rsid w:val="00F778DE"/>
    <w:rsid w:val="00FB087C"/>
    <w:rsid w:val="00FB2877"/>
    <w:rsid w:val="00FB2DB7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1F9"/>
  </w:style>
  <w:style w:type="paragraph" w:styleId="Heading2">
    <w:name w:val="heading 2"/>
    <w:basedOn w:val="Normal"/>
    <w:next w:val="Normal"/>
    <w:link w:val="Heading2Char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CA5"/>
  </w:style>
  <w:style w:type="paragraph" w:styleId="Footer">
    <w:name w:val="footer"/>
    <w:basedOn w:val="Normal"/>
    <w:link w:val="FooterChar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CA5"/>
  </w:style>
  <w:style w:type="character" w:customStyle="1" w:styleId="Heading2Char">
    <w:name w:val="Heading 2 Char"/>
    <w:basedOn w:val="DefaultParagraphFont"/>
    <w:link w:val="Heading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"/>
    <w:rsid w:val="007B5D45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8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3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31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7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1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924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257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5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3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3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1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23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5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28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74777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8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3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9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2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2890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4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1516</Words>
  <Characters>9102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Jaroslaw Kurek</cp:lastModifiedBy>
  <cp:revision>93</cp:revision>
  <cp:lastPrinted>2019-03-18T08:34:00Z</cp:lastPrinted>
  <dcterms:created xsi:type="dcterms:W3CDTF">2019-04-29T18:38:00Z</dcterms:created>
  <dcterms:modified xsi:type="dcterms:W3CDTF">2019-12-09T09:23:00Z</dcterms:modified>
</cp:coreProperties>
</file>