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74D1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9328F1">
              <w:rPr>
                <w:rFonts w:ascii="Arial" w:hAnsi="Arial" w:cs="Arial"/>
                <w:sz w:val="20"/>
                <w:szCs w:val="20"/>
              </w:rPr>
              <w:t>Rachunek prawdopodobieństwa i statystyka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C645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8C645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9328F1">
              <w:rPr>
                <w:rFonts w:ascii="Arial" w:hAnsi="Arial" w:cs="Arial"/>
                <w:bCs/>
                <w:sz w:val="16"/>
                <w:szCs w:val="16"/>
                <w:lang w:val="en-US"/>
              </w:rPr>
              <w:t>Probability and statistics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4552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4552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4552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45525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545525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4552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71AD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71AD9">
              <w:rPr>
                <w:b/>
                <w:sz w:val="16"/>
                <w:szCs w:val="16"/>
              </w:rPr>
              <w:t>ZIM-IN-1S-03Z-18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425A4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859E1" w:rsidRDefault="00ED11F9" w:rsidP="00CD041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425A4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74D1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859E1" w:rsidRDefault="00ED11F9" w:rsidP="00CD041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C51392" w:rsidRDefault="00ED11F9" w:rsidP="00CD0414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173F" w:rsidRDefault="0020173F" w:rsidP="00D10DC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</w:t>
            </w:r>
            <w:r w:rsidRPr="00E33057">
              <w:rPr>
                <w:rFonts w:ascii="Arial" w:hAnsi="Arial" w:cs="Arial"/>
                <w:sz w:val="16"/>
                <w:szCs w:val="16"/>
              </w:rPr>
              <w:t xml:space="preserve">apoznanie studentów z fundamentalnymi pojęciami </w:t>
            </w:r>
            <w:r>
              <w:rPr>
                <w:rFonts w:ascii="Arial" w:hAnsi="Arial" w:cs="Arial"/>
                <w:sz w:val="16"/>
                <w:szCs w:val="16"/>
              </w:rPr>
              <w:t>oraz</w:t>
            </w:r>
            <w:r w:rsidRPr="00E33057">
              <w:rPr>
                <w:rFonts w:ascii="Arial" w:hAnsi="Arial" w:cs="Arial"/>
                <w:sz w:val="16"/>
                <w:szCs w:val="16"/>
              </w:rPr>
              <w:t xml:space="preserve"> teoriami rachunku prawdopodobieństwa i statystyki</w:t>
            </w:r>
            <w:r>
              <w:rPr>
                <w:rFonts w:ascii="Arial" w:hAnsi="Arial" w:cs="Arial"/>
                <w:sz w:val="16"/>
                <w:szCs w:val="16"/>
              </w:rPr>
              <w:t>, jak również n</w:t>
            </w:r>
            <w:r w:rsidRPr="00B927C4">
              <w:rPr>
                <w:rFonts w:ascii="Arial" w:hAnsi="Arial" w:cs="Arial"/>
                <w:sz w:val="16"/>
                <w:szCs w:val="16"/>
              </w:rPr>
              <w:t xml:space="preserve">abycie przez </w:t>
            </w:r>
            <w:r w:rsidR="00D10DC0">
              <w:rPr>
                <w:rFonts w:ascii="Arial" w:hAnsi="Arial" w:cs="Arial"/>
                <w:sz w:val="16"/>
                <w:szCs w:val="16"/>
              </w:rPr>
              <w:t>nich</w:t>
            </w:r>
            <w:r w:rsidRPr="00B927C4">
              <w:rPr>
                <w:rFonts w:ascii="Arial" w:hAnsi="Arial" w:cs="Arial"/>
                <w:sz w:val="16"/>
                <w:szCs w:val="16"/>
              </w:rPr>
              <w:t xml:space="preserve"> umiejętności rozwiązywania zadań z rachunku prawdopodobieństwa i statystyki</w:t>
            </w:r>
            <w:r w:rsidR="00D10DC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927C4">
              <w:rPr>
                <w:rFonts w:ascii="Arial" w:hAnsi="Arial" w:cs="Arial"/>
                <w:sz w:val="16"/>
                <w:szCs w:val="16"/>
              </w:rPr>
              <w:t>umiejętności analizy i interpretacji uzyskanych wyników</w:t>
            </w:r>
            <w:r w:rsidR="00D10DC0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Pr="00B927C4">
              <w:rPr>
                <w:rFonts w:ascii="Arial" w:hAnsi="Arial" w:cs="Arial"/>
                <w:sz w:val="16"/>
                <w:szCs w:val="16"/>
              </w:rPr>
              <w:t>umiejętności stosowania metod rachunku prawdopodobieństwa i wnioskowania statystycznego w zagadnieniach praktycznych</w:t>
            </w:r>
            <w:r w:rsidR="00D10DC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A455D" w:rsidRPr="0081552D" w:rsidRDefault="003A455D" w:rsidP="003A455D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5042F0" w:rsidRPr="00485965" w:rsidRDefault="00A52EDD" w:rsidP="00D40A2E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5042F0">
              <w:rPr>
                <w:rFonts w:ascii="Arial" w:hAnsi="Arial" w:cs="Arial"/>
                <w:sz w:val="16"/>
                <w:szCs w:val="16"/>
              </w:rPr>
              <w:t xml:space="preserve">oświadczenie losowe, </w:t>
            </w:r>
            <w:r w:rsidR="005042F0" w:rsidRPr="00485965">
              <w:rPr>
                <w:rFonts w:ascii="Arial" w:hAnsi="Arial" w:cs="Arial"/>
                <w:sz w:val="16"/>
                <w:szCs w:val="16"/>
              </w:rPr>
              <w:t>zdarzenia elementarne</w:t>
            </w:r>
            <w:r w:rsidR="005042F0">
              <w:rPr>
                <w:rFonts w:ascii="Arial" w:hAnsi="Arial" w:cs="Arial"/>
                <w:sz w:val="16"/>
                <w:szCs w:val="16"/>
              </w:rPr>
              <w:t>, zbiory zdarzeń elementarnych</w:t>
            </w:r>
            <w:r w:rsidR="005042F0" w:rsidRPr="00485965">
              <w:rPr>
                <w:rFonts w:ascii="Arial" w:hAnsi="Arial" w:cs="Arial"/>
                <w:sz w:val="16"/>
                <w:szCs w:val="16"/>
              </w:rPr>
              <w:t xml:space="preserve"> i zdarzenia</w:t>
            </w:r>
            <w:r w:rsidR="007744D4">
              <w:rPr>
                <w:rFonts w:ascii="Arial" w:hAnsi="Arial" w:cs="Arial"/>
                <w:sz w:val="16"/>
                <w:szCs w:val="16"/>
              </w:rPr>
              <w:t xml:space="preserve"> losowe</w:t>
            </w:r>
            <w:r w:rsidR="005042F0" w:rsidRPr="00485965">
              <w:rPr>
                <w:rFonts w:ascii="Arial" w:hAnsi="Arial" w:cs="Arial"/>
                <w:sz w:val="16"/>
                <w:szCs w:val="16"/>
              </w:rPr>
              <w:t xml:space="preserve">, częstość zdarzenia, σ-ciało zdarzeń, przestrzeń probabilistyczna, aksjomaty prawdopodobieństwa i jego własności, prawdopodobieństwo klasyczne, </w:t>
            </w:r>
            <w:r w:rsidR="005042F0">
              <w:rPr>
                <w:rFonts w:ascii="Arial" w:hAnsi="Arial" w:cs="Arial"/>
                <w:sz w:val="16"/>
                <w:szCs w:val="16"/>
              </w:rPr>
              <w:t>prawdopodobieństwo geometryczne</w:t>
            </w:r>
          </w:p>
          <w:p w:rsidR="005042F0" w:rsidRPr="00485965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Wzór włączeń i wyłączeń, p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rawdopodobieństwo warunkowe, </w:t>
            </w:r>
            <w:r>
              <w:rPr>
                <w:rFonts w:ascii="Arial" w:hAnsi="Arial" w:cs="Arial"/>
                <w:sz w:val="16"/>
                <w:szCs w:val="16"/>
              </w:rPr>
              <w:t xml:space="preserve">wzór </w:t>
            </w:r>
            <w:r w:rsidRPr="00485965">
              <w:rPr>
                <w:rFonts w:ascii="Arial" w:hAnsi="Arial" w:cs="Arial"/>
                <w:sz w:val="16"/>
                <w:szCs w:val="16"/>
              </w:rPr>
              <w:t>łańcuchowy, prawdopodobieństwo całkowite, wzór Bayesa, niezależnoś</w:t>
            </w:r>
            <w:r>
              <w:rPr>
                <w:rFonts w:ascii="Arial" w:hAnsi="Arial" w:cs="Arial"/>
                <w:sz w:val="16"/>
                <w:szCs w:val="16"/>
              </w:rPr>
              <w:t>ć zdarzeń, schemat Bernoulliego</w:t>
            </w:r>
          </w:p>
          <w:p w:rsidR="005042F0" w:rsidRPr="00905852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 xml:space="preserve">Zmienne losowe jednowymiarowe – definicje jednowymiarowej zmiennej losowej i jej rozkładu, </w:t>
            </w:r>
            <w:r>
              <w:rPr>
                <w:rFonts w:ascii="Arial" w:hAnsi="Arial" w:cs="Arial"/>
                <w:sz w:val="16"/>
                <w:szCs w:val="16"/>
              </w:rPr>
              <w:t xml:space="preserve">typy zmiennych losowych, </w:t>
            </w:r>
            <w:r w:rsidRPr="00485965">
              <w:rPr>
                <w:rFonts w:ascii="Arial" w:hAnsi="Arial" w:cs="Arial"/>
                <w:sz w:val="16"/>
                <w:szCs w:val="16"/>
              </w:rPr>
              <w:t>pojęcia dystrybuanty i gęstości jednowymiarowej zmiennej losow</w:t>
            </w:r>
            <w:r>
              <w:rPr>
                <w:rFonts w:ascii="Arial" w:hAnsi="Arial" w:cs="Arial"/>
                <w:sz w:val="16"/>
                <w:szCs w:val="16"/>
              </w:rPr>
              <w:t>ej, własności dystrybuanty i gęstości,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 przykłady rozkładów jednowymiarowych zmiennych losowych, </w:t>
            </w:r>
            <w:r>
              <w:rPr>
                <w:rFonts w:ascii="Arial" w:hAnsi="Arial" w:cs="Arial"/>
                <w:sz w:val="16"/>
                <w:szCs w:val="16"/>
              </w:rPr>
              <w:t>własności rozkładu normalnego, reguła trzech sigm, pożyteczne przybliżenia rozkładu dwumianowego, charakterystyki liczbowe</w:t>
            </w:r>
            <w:r w:rsidRPr="00905852">
              <w:rPr>
                <w:rFonts w:ascii="Arial" w:hAnsi="Arial" w:cs="Arial"/>
                <w:sz w:val="16"/>
                <w:szCs w:val="16"/>
              </w:rPr>
              <w:t xml:space="preserve"> rozkładów jednowymiarowych zmiennych losowych (wartość oczekiwana, wariancja, odchylenie standardowe, momenty, kwantyle), funkcje zmienn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905852">
              <w:rPr>
                <w:rFonts w:ascii="Arial" w:hAnsi="Arial" w:cs="Arial"/>
                <w:sz w:val="16"/>
                <w:szCs w:val="16"/>
              </w:rPr>
              <w:t xml:space="preserve"> losow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905852">
              <w:rPr>
                <w:rFonts w:ascii="Arial" w:hAnsi="Arial" w:cs="Arial"/>
                <w:sz w:val="16"/>
                <w:szCs w:val="16"/>
              </w:rPr>
              <w:t xml:space="preserve"> i ich rozkłady</w:t>
            </w:r>
          </w:p>
          <w:p w:rsidR="005042F0" w:rsidRPr="006C3950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>Zmienne losowe dwuwymiarowe – definicja dwuwymiarowej zmien</w:t>
            </w:r>
            <w:r>
              <w:rPr>
                <w:rFonts w:ascii="Arial" w:hAnsi="Arial" w:cs="Arial"/>
                <w:sz w:val="16"/>
                <w:szCs w:val="16"/>
              </w:rPr>
              <w:t>nej losowej, jej rozkład łączny,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 rozkłady brzegowe i warunkowe, pojęcia dystrybuanty i gęstości dwuwymiarowej zmiennej losowej,</w:t>
            </w:r>
            <w:r>
              <w:rPr>
                <w:rFonts w:ascii="Arial" w:hAnsi="Arial" w:cs="Arial"/>
                <w:sz w:val="16"/>
                <w:szCs w:val="16"/>
              </w:rPr>
              <w:t xml:space="preserve"> gęstości brzegowe i warunkowe, n</w:t>
            </w:r>
            <w:r w:rsidRPr="006C3950">
              <w:rPr>
                <w:rFonts w:ascii="Arial" w:hAnsi="Arial" w:cs="Arial"/>
                <w:sz w:val="16"/>
                <w:szCs w:val="16"/>
              </w:rPr>
              <w:t>iezależność zmiennych losowych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C3950">
              <w:rPr>
                <w:rFonts w:ascii="Arial" w:hAnsi="Arial" w:cs="Arial"/>
                <w:sz w:val="16"/>
                <w:szCs w:val="16"/>
              </w:rPr>
              <w:t xml:space="preserve">warunkowa wartość oczekiwana, </w:t>
            </w:r>
            <w:r>
              <w:rPr>
                <w:rFonts w:ascii="Arial" w:hAnsi="Arial" w:cs="Arial"/>
                <w:sz w:val="16"/>
                <w:szCs w:val="16"/>
              </w:rPr>
              <w:t>pojęcia kowariancji i korelacji, nierówność Schwarza, własności kowariancji, interpretacja współczynnika korelacji</w:t>
            </w:r>
          </w:p>
          <w:p w:rsidR="005042F0" w:rsidRPr="00485965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>Centralne twierdzenie graniczne, twierdzenie De Moivre’a-Laplace’a, nierówność Mark</w:t>
            </w:r>
            <w:r>
              <w:rPr>
                <w:rFonts w:ascii="Arial" w:hAnsi="Arial" w:cs="Arial"/>
                <w:sz w:val="16"/>
                <w:szCs w:val="16"/>
              </w:rPr>
              <w:t>owa, nierówność Czebyszewa</w:t>
            </w:r>
          </w:p>
          <w:p w:rsidR="005042F0" w:rsidRPr="00485965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 xml:space="preserve">Wprowadzenie do wnioskowania statystycznego – pojęcia próby losowej, statystyki z próby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85965">
              <w:rPr>
                <w:rFonts w:ascii="Arial" w:hAnsi="Arial" w:cs="Arial"/>
                <w:sz w:val="16"/>
                <w:szCs w:val="16"/>
              </w:rPr>
              <w:t>i estymatora, estymacja punktowa, przykłady estymatorów punktowych</w:t>
            </w:r>
          </w:p>
          <w:p w:rsidR="005042F0" w:rsidRPr="00485965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 xml:space="preserve">Estymacja przedziałowa – </w:t>
            </w:r>
            <w:r>
              <w:rPr>
                <w:rFonts w:ascii="Arial" w:hAnsi="Arial" w:cs="Arial"/>
                <w:sz w:val="16"/>
                <w:szCs w:val="16"/>
              </w:rPr>
              <w:t xml:space="preserve">pojęcie przedziału ufności, 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przedziały ufności dla średniej, </w:t>
            </w:r>
            <w:r>
              <w:rPr>
                <w:rFonts w:ascii="Arial" w:hAnsi="Arial" w:cs="Arial"/>
                <w:sz w:val="16"/>
                <w:szCs w:val="16"/>
              </w:rPr>
              <w:t>proporcji, różnicy średnich oraz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 różni</w:t>
            </w:r>
            <w:r>
              <w:rPr>
                <w:rFonts w:ascii="Arial" w:hAnsi="Arial" w:cs="Arial"/>
                <w:sz w:val="16"/>
                <w:szCs w:val="16"/>
              </w:rPr>
              <w:t>cy proporcji</w:t>
            </w:r>
          </w:p>
          <w:p w:rsidR="005042F0" w:rsidRPr="00485965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>Wprowadzenie do testowania hipotez – pojęcia statystyki testowej, wartości krytycznej, zbioru krytycznego, poziomu istotnośc</w:t>
            </w:r>
            <w:r>
              <w:rPr>
                <w:rFonts w:ascii="Arial" w:hAnsi="Arial" w:cs="Arial"/>
                <w:sz w:val="16"/>
                <w:szCs w:val="16"/>
              </w:rPr>
              <w:t>i testu, mocy testu oraz p-wartości</w:t>
            </w:r>
          </w:p>
          <w:p w:rsidR="005042F0" w:rsidRPr="00485965" w:rsidRDefault="005042F0" w:rsidP="005042F0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>Weryfikacja hipotez statystycznych dla jednej i dwóch populacji – testy isto</w:t>
            </w:r>
            <w:r>
              <w:rPr>
                <w:rFonts w:ascii="Arial" w:hAnsi="Arial" w:cs="Arial"/>
                <w:sz w:val="16"/>
                <w:szCs w:val="16"/>
              </w:rPr>
              <w:t xml:space="preserve">tności dla średniej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oraz dla </w:t>
            </w:r>
            <w:r w:rsidRPr="00485965">
              <w:rPr>
                <w:rFonts w:ascii="Arial" w:hAnsi="Arial" w:cs="Arial"/>
                <w:sz w:val="16"/>
                <w:szCs w:val="16"/>
              </w:rPr>
              <w:t>proporcji, na równość średnich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485965">
              <w:rPr>
                <w:rFonts w:ascii="Arial" w:hAnsi="Arial" w:cs="Arial"/>
                <w:sz w:val="16"/>
                <w:szCs w:val="16"/>
              </w:rPr>
              <w:t>równość proporcji, test chi-kwadrat</w:t>
            </w:r>
            <w:r w:rsidR="006D3BA4" w:rsidRPr="00485965">
              <w:rPr>
                <w:rFonts w:ascii="Arial" w:hAnsi="Arial" w:cs="Arial"/>
                <w:sz w:val="16"/>
                <w:szCs w:val="16"/>
              </w:rPr>
              <w:t xml:space="preserve"> zgodności</w:t>
            </w:r>
            <w:r w:rsidRPr="00485965">
              <w:rPr>
                <w:rFonts w:ascii="Arial" w:hAnsi="Arial" w:cs="Arial"/>
                <w:sz w:val="16"/>
                <w:szCs w:val="16"/>
              </w:rPr>
              <w:t>, test zgodności Kołmogorowa, test chi-kwadrat</w:t>
            </w:r>
            <w:r w:rsidR="006D3BA4" w:rsidRPr="00485965">
              <w:rPr>
                <w:rFonts w:ascii="Arial" w:hAnsi="Arial" w:cs="Arial"/>
                <w:sz w:val="16"/>
                <w:szCs w:val="16"/>
              </w:rPr>
              <w:t xml:space="preserve"> niezależności</w:t>
            </w:r>
            <w:r w:rsidRPr="00485965">
              <w:rPr>
                <w:rFonts w:ascii="Arial" w:hAnsi="Arial" w:cs="Arial"/>
                <w:sz w:val="16"/>
                <w:szCs w:val="16"/>
              </w:rPr>
              <w:t>, test w</w:t>
            </w:r>
            <w:r>
              <w:rPr>
                <w:rFonts w:ascii="Arial" w:hAnsi="Arial" w:cs="Arial"/>
                <w:sz w:val="16"/>
                <w:szCs w:val="16"/>
              </w:rPr>
              <w:t>spółczynnika korelacji Pearsona</w:t>
            </w:r>
          </w:p>
          <w:p w:rsidR="00ED11F9" w:rsidRPr="002A6884" w:rsidRDefault="005042F0" w:rsidP="002A688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5965">
              <w:rPr>
                <w:rFonts w:ascii="Arial" w:hAnsi="Arial" w:cs="Arial"/>
                <w:sz w:val="16"/>
                <w:szCs w:val="16"/>
              </w:rPr>
              <w:t>Prosta regresja liniowa – szacowanie parametrów funkcji regresji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predykcja jej wartości</w:t>
            </w:r>
            <w:r w:rsidRPr="00485965">
              <w:rPr>
                <w:rFonts w:ascii="Arial" w:hAnsi="Arial" w:cs="Arial"/>
                <w:sz w:val="16"/>
                <w:szCs w:val="16"/>
              </w:rPr>
              <w:t xml:space="preserve">, badanie istotności współczynnika kierunkowego prostej regresji </w:t>
            </w:r>
            <w:r>
              <w:rPr>
                <w:rFonts w:ascii="Arial" w:hAnsi="Arial" w:cs="Arial"/>
                <w:sz w:val="16"/>
                <w:szCs w:val="16"/>
              </w:rPr>
              <w:t>oraz interpretacja jego wartości</w:t>
            </w:r>
            <w:r w:rsidR="002A6884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2A6884" w:rsidRPr="007744D4">
              <w:rPr>
                <w:rFonts w:ascii="Arial" w:hAnsi="Arial" w:cs="Arial"/>
                <w:sz w:val="16"/>
                <w:szCs w:val="16"/>
                <w:u w:val="single"/>
              </w:rPr>
              <w:t>ten punkt – jeśli wystarczy czasu</w:t>
            </w:r>
            <w:r w:rsidR="002A6884" w:rsidRPr="002A6884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257F00" w:rsidRPr="00684D34" w:rsidRDefault="00257F00" w:rsidP="00257F00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1321B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F1321B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257F00" w:rsidRPr="00F1321B">
              <w:rPr>
                <w:rFonts w:ascii="Arial" w:hAnsi="Arial" w:cs="Arial"/>
                <w:sz w:val="16"/>
                <w:szCs w:val="16"/>
              </w:rPr>
              <w:t>30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...;</w:t>
            </w:r>
          </w:p>
          <w:p w:rsidR="00ED11F9" w:rsidRPr="00F1321B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F1321B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Pr="00F1321B">
              <w:rPr>
                <w:rFonts w:ascii="Arial" w:hAnsi="Arial" w:cs="Arial"/>
                <w:sz w:val="16"/>
                <w:szCs w:val="16"/>
              </w:rPr>
              <w:t>30</w:t>
            </w:r>
            <w:r w:rsidR="00ED11F9" w:rsidRPr="00F1321B">
              <w:rPr>
                <w:rFonts w:ascii="Arial" w:hAnsi="Arial" w:cs="Arial"/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57F0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57F0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Przynajmniej podstawowa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wiedza z analiz</w:t>
            </w:r>
            <w:r w:rsidR="00151533">
              <w:rPr>
                <w:rFonts w:ascii="Arial" w:hAnsi="Arial" w:cs="Arial"/>
                <w:sz w:val="16"/>
                <w:szCs w:val="16"/>
              </w:rPr>
              <w:t>y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 w:rsidR="00151533">
              <w:rPr>
                <w:rFonts w:ascii="Arial" w:hAnsi="Arial" w:cs="Arial"/>
                <w:sz w:val="16"/>
                <w:szCs w:val="16"/>
              </w:rPr>
              <w:t>ej</w:t>
            </w:r>
            <w:r w:rsidR="00151533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oraz matematyki dyskretnej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327A73" w:rsidRDefault="00ED11F9" w:rsidP="00327A7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327A73">
              <w:rPr>
                <w:sz w:val="16"/>
                <w:szCs w:val="16"/>
              </w:rPr>
              <w:t>Wiedza</w:t>
            </w:r>
            <w:r w:rsidRPr="00C66056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077302" w:rsidRPr="00C66056" w:rsidRDefault="00977915" w:rsidP="00077302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Absolw</w:t>
            </w:r>
            <w:r w:rsidR="00077302" w:rsidRPr="00F614B7">
              <w:rPr>
                <w:rFonts w:ascii="Arial" w:hAnsi="Arial" w:cs="Arial"/>
                <w:sz w:val="16"/>
                <w:szCs w:val="16"/>
              </w:rPr>
              <w:t>ent:</w:t>
            </w:r>
          </w:p>
          <w:p w:rsidR="00A77A56" w:rsidRDefault="00150C8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Pr="00F614B7">
              <w:rPr>
                <w:rFonts w:ascii="Arial" w:hAnsi="Arial" w:cs="Arial"/>
                <w:sz w:val="16"/>
                <w:szCs w:val="16"/>
              </w:rPr>
              <w:t>–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16C6">
              <w:rPr>
                <w:rFonts w:ascii="Arial" w:hAnsi="Arial" w:cs="Arial"/>
                <w:sz w:val="16"/>
                <w:szCs w:val="16"/>
              </w:rPr>
              <w:t>zna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16C6">
              <w:rPr>
                <w:rFonts w:ascii="Arial" w:hAnsi="Arial" w:cs="Arial"/>
                <w:sz w:val="16"/>
                <w:szCs w:val="16"/>
              </w:rPr>
              <w:t>definicje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doświadczeni</w:t>
            </w:r>
            <w:r w:rsidR="005116C6">
              <w:rPr>
                <w:rFonts w:ascii="Arial" w:hAnsi="Arial" w:cs="Arial"/>
                <w:sz w:val="16"/>
                <w:szCs w:val="16"/>
              </w:rPr>
              <w:t>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losowe</w:t>
            </w:r>
            <w:r w:rsidR="005116C6">
              <w:rPr>
                <w:rFonts w:ascii="Arial" w:hAnsi="Arial" w:cs="Arial"/>
                <w:sz w:val="16"/>
                <w:szCs w:val="16"/>
              </w:rPr>
              <w:t>go</w:t>
            </w:r>
            <w:r w:rsidR="0071525A">
              <w:rPr>
                <w:rFonts w:ascii="Arial" w:hAnsi="Arial" w:cs="Arial"/>
                <w:sz w:val="16"/>
                <w:szCs w:val="16"/>
              </w:rPr>
              <w:t>, zdarzeni</w:t>
            </w:r>
            <w:r w:rsidR="005116C6">
              <w:rPr>
                <w:rFonts w:ascii="Arial" w:hAnsi="Arial" w:cs="Arial"/>
                <w:sz w:val="16"/>
                <w:szCs w:val="16"/>
              </w:rPr>
              <w:t>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elementarne</w:t>
            </w:r>
            <w:r w:rsidR="005116C6">
              <w:rPr>
                <w:rFonts w:ascii="Arial" w:hAnsi="Arial" w:cs="Arial"/>
                <w:sz w:val="16"/>
                <w:szCs w:val="16"/>
              </w:rPr>
              <w:t>go</w:t>
            </w:r>
            <w:r w:rsidR="0071525A">
              <w:rPr>
                <w:rFonts w:ascii="Arial" w:hAnsi="Arial" w:cs="Arial"/>
                <w:sz w:val="16"/>
                <w:szCs w:val="16"/>
              </w:rPr>
              <w:t>, zdarzeni</w:t>
            </w:r>
            <w:r w:rsidR="005116C6">
              <w:rPr>
                <w:rFonts w:ascii="Arial" w:hAnsi="Arial" w:cs="Arial"/>
                <w:sz w:val="16"/>
                <w:szCs w:val="16"/>
              </w:rPr>
              <w:t>a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losowe</w:t>
            </w:r>
            <w:r w:rsidR="005116C6">
              <w:rPr>
                <w:rFonts w:ascii="Arial" w:hAnsi="Arial" w:cs="Arial"/>
                <w:sz w:val="16"/>
                <w:szCs w:val="16"/>
              </w:rPr>
              <w:t>go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B2DFC">
              <w:rPr>
                <w:rFonts w:ascii="Arial" w:hAnsi="Arial" w:cs="Arial"/>
                <w:sz w:val="16"/>
                <w:szCs w:val="16"/>
              </w:rPr>
              <w:t>i</w:t>
            </w:r>
            <w:r w:rsidR="00F642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1525A">
              <w:rPr>
                <w:rFonts w:ascii="Arial" w:hAnsi="Arial" w:cs="Arial"/>
                <w:sz w:val="16"/>
                <w:szCs w:val="16"/>
              </w:rPr>
              <w:t>przestrze</w:t>
            </w:r>
            <w:r w:rsidR="005116C6">
              <w:rPr>
                <w:rFonts w:ascii="Arial" w:hAnsi="Arial" w:cs="Arial"/>
                <w:sz w:val="16"/>
                <w:szCs w:val="16"/>
              </w:rPr>
              <w:t>ni</w:t>
            </w:r>
            <w:r w:rsidR="0071525A">
              <w:rPr>
                <w:rFonts w:ascii="Arial" w:hAnsi="Arial" w:cs="Arial"/>
                <w:sz w:val="16"/>
                <w:szCs w:val="16"/>
              </w:rPr>
              <w:t xml:space="preserve"> probabilistyczn</w:t>
            </w:r>
            <w:r w:rsidR="005116C6">
              <w:rPr>
                <w:rFonts w:ascii="Arial" w:hAnsi="Arial" w:cs="Arial"/>
                <w:sz w:val="16"/>
                <w:szCs w:val="16"/>
              </w:rPr>
              <w:t>ej</w:t>
            </w:r>
            <w:r w:rsidR="000C294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F0B02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B4473D">
              <w:rPr>
                <w:rFonts w:ascii="Arial" w:hAnsi="Arial" w:cs="Arial"/>
                <w:sz w:val="16"/>
                <w:szCs w:val="16"/>
              </w:rPr>
              <w:t>także</w:t>
            </w:r>
            <w:r w:rsidR="00CF0B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F0B02">
              <w:rPr>
                <w:rFonts w:ascii="Arial" w:hAnsi="Arial" w:cs="Arial"/>
                <w:sz w:val="16"/>
                <w:szCs w:val="16"/>
              </w:rPr>
              <w:lastRenderedPageBreak/>
              <w:t>definicję częstości oraz definicję prawdopodobieństwa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E781F">
              <w:rPr>
                <w:rFonts w:ascii="Arial" w:hAnsi="Arial" w:cs="Arial"/>
                <w:sz w:val="16"/>
                <w:szCs w:val="16"/>
              </w:rPr>
              <w:t>jak również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aksjomaty prawdopodobieństwa</w:t>
            </w:r>
            <w:r w:rsidR="00DE781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F0B02">
              <w:rPr>
                <w:rFonts w:ascii="Arial" w:hAnsi="Arial" w:cs="Arial"/>
                <w:sz w:val="16"/>
                <w:szCs w:val="16"/>
              </w:rPr>
              <w:t>i</w:t>
            </w:r>
            <w:r w:rsidR="001B2DF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wynikające z </w:t>
            </w:r>
            <w:r w:rsidR="008A7E72">
              <w:rPr>
                <w:rFonts w:ascii="Arial" w:hAnsi="Arial" w:cs="Arial"/>
                <w:sz w:val="16"/>
                <w:szCs w:val="16"/>
              </w:rPr>
              <w:t>tych aksjomatów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własności prawdopodobieństwa</w:t>
            </w: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27FAD" w:rsidRPr="00F614B7">
              <w:rPr>
                <w:rFonts w:ascii="Arial" w:hAnsi="Arial" w:cs="Arial"/>
                <w:sz w:val="16"/>
                <w:szCs w:val="16"/>
              </w:rPr>
              <w:t>–</w:t>
            </w:r>
            <w:r w:rsidR="00527FA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02790">
              <w:rPr>
                <w:rFonts w:ascii="Arial" w:hAnsi="Arial" w:cs="Arial"/>
                <w:sz w:val="16"/>
                <w:szCs w:val="16"/>
              </w:rPr>
              <w:t>zna</w:t>
            </w:r>
            <w:r w:rsidR="0029380B">
              <w:rPr>
                <w:rFonts w:ascii="Arial" w:hAnsi="Arial" w:cs="Arial"/>
                <w:sz w:val="16"/>
                <w:szCs w:val="16"/>
              </w:rPr>
              <w:t xml:space="preserve"> podstawow</w:t>
            </w:r>
            <w:r w:rsidR="00602790">
              <w:rPr>
                <w:rFonts w:ascii="Arial" w:hAnsi="Arial" w:cs="Arial"/>
                <w:sz w:val="16"/>
                <w:szCs w:val="16"/>
              </w:rPr>
              <w:t>e</w:t>
            </w:r>
            <w:r w:rsidR="0029380B">
              <w:rPr>
                <w:rFonts w:ascii="Arial" w:hAnsi="Arial" w:cs="Arial"/>
                <w:sz w:val="16"/>
                <w:szCs w:val="16"/>
              </w:rPr>
              <w:t xml:space="preserve"> twierdzenia </w:t>
            </w:r>
            <w:r w:rsidR="00C66056">
              <w:rPr>
                <w:rFonts w:ascii="Arial" w:hAnsi="Arial" w:cs="Arial"/>
                <w:sz w:val="16"/>
                <w:szCs w:val="16"/>
              </w:rPr>
              <w:t>dotyczące</w:t>
            </w:r>
            <w:r w:rsidR="0029380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02790">
              <w:rPr>
                <w:rFonts w:ascii="Arial" w:hAnsi="Arial" w:cs="Arial"/>
                <w:sz w:val="16"/>
                <w:szCs w:val="16"/>
              </w:rPr>
              <w:t xml:space="preserve">rachunku </w:t>
            </w:r>
            <w:r w:rsidR="0029380B">
              <w:rPr>
                <w:rFonts w:ascii="Arial" w:hAnsi="Arial" w:cs="Arial"/>
                <w:sz w:val="16"/>
                <w:szCs w:val="16"/>
              </w:rPr>
              <w:t>prawdopodobieństwa</w:t>
            </w:r>
            <w:r w:rsidR="00F6423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02790">
              <w:rPr>
                <w:rFonts w:ascii="Arial" w:hAnsi="Arial" w:cs="Arial"/>
                <w:sz w:val="16"/>
                <w:szCs w:val="16"/>
              </w:rPr>
              <w:t>umie</w:t>
            </w:r>
            <w:r w:rsidR="00F64238">
              <w:rPr>
                <w:rFonts w:ascii="Arial" w:hAnsi="Arial" w:cs="Arial"/>
                <w:sz w:val="16"/>
                <w:szCs w:val="16"/>
              </w:rPr>
              <w:t xml:space="preserve"> badać niezależność zdarzeń</w:t>
            </w:r>
            <w:r w:rsidR="00806D5F">
              <w:rPr>
                <w:rFonts w:ascii="Arial" w:hAnsi="Arial" w:cs="Arial"/>
                <w:sz w:val="16"/>
                <w:szCs w:val="16"/>
              </w:rPr>
              <w:t xml:space="preserve"> losowych</w:t>
            </w:r>
          </w:p>
          <w:p w:rsidR="00C66056" w:rsidRPr="00C660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280C" w:rsidRPr="00F614B7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8A3A8B">
              <w:rPr>
                <w:rFonts w:ascii="Arial" w:hAnsi="Arial" w:cs="Arial"/>
                <w:sz w:val="16"/>
                <w:szCs w:val="16"/>
              </w:rPr>
              <w:t>pojęcie jednowymiarowej zmiennej losowej i jej rozkładu oraz definicje podstawowych charakterystyk tej zmiennej losowej, potrafi także podać definicje oraz</w:t>
            </w:r>
            <w:r w:rsidR="0062609A">
              <w:rPr>
                <w:rFonts w:ascii="Arial" w:hAnsi="Arial" w:cs="Arial"/>
                <w:sz w:val="16"/>
                <w:szCs w:val="16"/>
              </w:rPr>
              <w:t xml:space="preserve">  </w:t>
            </w:r>
            <w:r w:rsidR="008A3A8B">
              <w:rPr>
                <w:rFonts w:ascii="Arial" w:hAnsi="Arial" w:cs="Arial"/>
                <w:sz w:val="16"/>
                <w:szCs w:val="16"/>
              </w:rPr>
              <w:t xml:space="preserve">własności </w:t>
            </w:r>
            <w:r w:rsidR="006722FF">
              <w:rPr>
                <w:rFonts w:ascii="Arial" w:hAnsi="Arial" w:cs="Arial"/>
                <w:sz w:val="16"/>
                <w:szCs w:val="16"/>
              </w:rPr>
              <w:t>dystrybuanty</w:t>
            </w:r>
            <w:r w:rsidR="00C66056">
              <w:rPr>
                <w:rFonts w:ascii="Arial" w:hAnsi="Arial" w:cs="Arial"/>
                <w:sz w:val="16"/>
                <w:szCs w:val="16"/>
              </w:rPr>
              <w:t xml:space="preserve"> i gęstości jednowymiarowej zmiennej losowej, zna także własności wartości oczekiwanej oraz wariancji</w:t>
            </w:r>
            <w:r w:rsidR="003E5B06">
              <w:rPr>
                <w:rFonts w:ascii="Arial" w:hAnsi="Arial" w:cs="Arial"/>
                <w:sz w:val="16"/>
                <w:szCs w:val="16"/>
              </w:rPr>
              <w:t xml:space="preserve">, potrafi wymienić </w:t>
            </w:r>
            <w:r w:rsidR="00C66056">
              <w:rPr>
                <w:rFonts w:ascii="Arial" w:hAnsi="Arial" w:cs="Arial"/>
                <w:sz w:val="16"/>
                <w:szCs w:val="16"/>
              </w:rPr>
              <w:t>najważniejsze rozkłady jednowymiarowych zmiennych losowych</w:t>
            </w:r>
          </w:p>
          <w:p w:rsidR="00ED11F9" w:rsidRDefault="003E5B0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C66056" w:rsidRPr="00C66056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C66056"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C66056">
              <w:rPr>
                <w:rFonts w:ascii="Arial" w:hAnsi="Arial" w:cs="Arial"/>
                <w:sz w:val="16"/>
                <w:szCs w:val="16"/>
              </w:rPr>
              <w:t>pojęcie dwuwymiarowej zmiennej losowej oraz definicje jej rozkładu łącznego i rozkładów brzegowych</w:t>
            </w:r>
            <w:r w:rsidR="0018310D">
              <w:rPr>
                <w:rFonts w:ascii="Arial" w:hAnsi="Arial" w:cs="Arial"/>
                <w:sz w:val="16"/>
                <w:szCs w:val="16"/>
              </w:rPr>
              <w:t xml:space="preserve">, umie podać definicje dystrybuanty oraz gęstości </w:t>
            </w:r>
            <w:r w:rsidR="004140DE">
              <w:rPr>
                <w:rFonts w:ascii="Arial" w:hAnsi="Arial" w:cs="Arial"/>
                <w:sz w:val="16"/>
                <w:szCs w:val="16"/>
              </w:rPr>
              <w:t>dwuwymiarowej zmiennej losowej</w:t>
            </w:r>
          </w:p>
          <w:p w:rsidR="007D7F41" w:rsidRDefault="003E5B0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7D7F41">
              <w:rPr>
                <w:rFonts w:ascii="Arial" w:hAnsi="Arial" w:cs="Arial"/>
                <w:sz w:val="16"/>
                <w:szCs w:val="16"/>
              </w:rPr>
              <w:t xml:space="preserve"> – zna podstawowe twierdzenia i nierówności dotyczące zmiennych losowych, potrafi badać niezależność zmiennych losowych</w:t>
            </w:r>
          </w:p>
          <w:p w:rsidR="007D7F41" w:rsidRDefault="003E5B0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7D7F41">
              <w:rPr>
                <w:rFonts w:ascii="Arial" w:hAnsi="Arial" w:cs="Arial"/>
                <w:sz w:val="16"/>
                <w:szCs w:val="16"/>
              </w:rPr>
              <w:t xml:space="preserve"> – zna podstawowe pojęcia i definicje statystyki matematycznej</w:t>
            </w:r>
            <w:r w:rsidR="00557F8B">
              <w:rPr>
                <w:rFonts w:ascii="Arial" w:hAnsi="Arial" w:cs="Arial"/>
                <w:sz w:val="16"/>
                <w:szCs w:val="16"/>
              </w:rPr>
              <w:t>, umie podać wzory na najpopularniejsze przedziały ufności</w:t>
            </w:r>
          </w:p>
          <w:p w:rsidR="00557F8B" w:rsidRDefault="003E5B06" w:rsidP="00557F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7D7F41">
              <w:rPr>
                <w:rFonts w:ascii="Arial" w:hAnsi="Arial" w:cs="Arial"/>
                <w:sz w:val="16"/>
                <w:szCs w:val="16"/>
              </w:rPr>
              <w:t xml:space="preserve"> – zna podstawowe </w:t>
            </w:r>
            <w:r w:rsidR="00557F8B">
              <w:rPr>
                <w:rFonts w:ascii="Arial" w:hAnsi="Arial" w:cs="Arial"/>
                <w:sz w:val="16"/>
                <w:szCs w:val="16"/>
              </w:rPr>
              <w:t>testy statystyczne (parametryczne oraz</w:t>
            </w:r>
            <w:r w:rsidR="00131E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57F8B">
              <w:rPr>
                <w:rFonts w:ascii="Arial" w:hAnsi="Arial" w:cs="Arial"/>
                <w:sz w:val="16"/>
                <w:szCs w:val="16"/>
              </w:rPr>
              <w:t>nieparametryczne)</w:t>
            </w:r>
          </w:p>
          <w:p w:rsidR="007D7F41" w:rsidRPr="00C66056" w:rsidRDefault="007D7F41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Default="00ED11F9" w:rsidP="00327A73">
            <w:pPr>
              <w:spacing w:line="240" w:lineRule="auto"/>
              <w:rPr>
                <w:sz w:val="16"/>
                <w:szCs w:val="16"/>
              </w:rPr>
            </w:pPr>
            <w:r w:rsidRPr="00327A73">
              <w:rPr>
                <w:sz w:val="16"/>
                <w:szCs w:val="16"/>
              </w:rPr>
              <w:lastRenderedPageBreak/>
              <w:t>Umiejętności</w:t>
            </w:r>
            <w:r>
              <w:rPr>
                <w:sz w:val="16"/>
                <w:szCs w:val="16"/>
              </w:rPr>
              <w:t>:</w:t>
            </w:r>
          </w:p>
          <w:p w:rsidR="0087358F" w:rsidRDefault="00977915" w:rsidP="0087358F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Absolw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>ent:</w:t>
            </w:r>
          </w:p>
          <w:p w:rsidR="009859E1" w:rsidRPr="00F614B7" w:rsidRDefault="009859E1" w:rsidP="009859E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614B7"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3A2C2E">
              <w:rPr>
                <w:rFonts w:ascii="Arial" w:hAnsi="Arial" w:cs="Arial"/>
                <w:sz w:val="16"/>
                <w:szCs w:val="16"/>
              </w:rPr>
              <w:t>potrafi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 określać przestrzenie pr</w:t>
            </w:r>
            <w:r>
              <w:rPr>
                <w:rFonts w:ascii="Arial" w:hAnsi="Arial" w:cs="Arial"/>
                <w:sz w:val="16"/>
                <w:szCs w:val="16"/>
              </w:rPr>
              <w:t>obabilistyczne i zdarze</w:t>
            </w:r>
            <w:r w:rsidR="006D3BA4">
              <w:rPr>
                <w:rFonts w:ascii="Arial" w:hAnsi="Arial" w:cs="Arial"/>
                <w:sz w:val="16"/>
                <w:szCs w:val="16"/>
              </w:rPr>
              <w:t>nia losowe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A2C2E">
              <w:rPr>
                <w:rFonts w:ascii="Arial" w:hAnsi="Arial" w:cs="Arial"/>
                <w:sz w:val="16"/>
                <w:szCs w:val="16"/>
              </w:rPr>
              <w:t>umie</w:t>
            </w:r>
            <w:r w:rsidR="004E18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614B7">
              <w:rPr>
                <w:rFonts w:ascii="Arial" w:hAnsi="Arial" w:cs="Arial"/>
                <w:sz w:val="16"/>
                <w:szCs w:val="16"/>
              </w:rPr>
              <w:t>wykonywać oper</w:t>
            </w:r>
            <w:r>
              <w:rPr>
                <w:rFonts w:ascii="Arial" w:hAnsi="Arial" w:cs="Arial"/>
                <w:sz w:val="16"/>
                <w:szCs w:val="16"/>
              </w:rPr>
              <w:t>acje na zdarzeniach</w:t>
            </w:r>
          </w:p>
          <w:p w:rsidR="0087358F" w:rsidRPr="00F614B7" w:rsidRDefault="00806D5F" w:rsidP="0087358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51753A">
              <w:rPr>
                <w:rFonts w:ascii="Arial" w:hAnsi="Arial" w:cs="Arial"/>
                <w:sz w:val="16"/>
                <w:szCs w:val="16"/>
              </w:rPr>
              <w:t>potrafi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obliczać prawdopodobieństwa, korzystając z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definicji prawdopodobieństwa klasycznego 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oraz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prawdopodobieństwa geometrycznego, 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jak również ze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>wzorów na prawdopodobieństwo warunkowe i całkowite, wzoru Bayesa, wzoru włączeń i wyłączeń</w:t>
            </w:r>
            <w:r w:rsidR="005569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D3BA4">
              <w:rPr>
                <w:rFonts w:ascii="Arial" w:hAnsi="Arial" w:cs="Arial"/>
                <w:sz w:val="16"/>
                <w:szCs w:val="16"/>
              </w:rPr>
              <w:t>oraz</w:t>
            </w:r>
            <w:r w:rsidR="00C67B8A">
              <w:rPr>
                <w:rFonts w:ascii="Arial" w:hAnsi="Arial" w:cs="Arial"/>
                <w:sz w:val="16"/>
                <w:szCs w:val="16"/>
              </w:rPr>
              <w:t> </w:t>
            </w:r>
            <w:r w:rsidR="00DE35A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wzoru łańcuchowego, </w:t>
            </w:r>
            <w:r w:rsidR="0051753A">
              <w:rPr>
                <w:rFonts w:ascii="Arial" w:hAnsi="Arial" w:cs="Arial"/>
                <w:sz w:val="16"/>
                <w:szCs w:val="16"/>
              </w:rPr>
              <w:t>umie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badać niezależność zdarzeń </w:t>
            </w:r>
            <w:r w:rsidR="00341DBB">
              <w:rPr>
                <w:rFonts w:ascii="Arial" w:hAnsi="Arial" w:cs="Arial"/>
                <w:sz w:val="16"/>
                <w:szCs w:val="16"/>
              </w:rPr>
              <w:t>i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>stosować schemat Bernoulliego</w:t>
            </w:r>
          </w:p>
          <w:p w:rsidR="003E5B06" w:rsidRDefault="003E5B06" w:rsidP="0087358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wyznaczać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dystrybuanty i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gęstości rozkładów </w:t>
            </w:r>
            <w:r>
              <w:rPr>
                <w:rFonts w:ascii="Arial" w:hAnsi="Arial" w:cs="Arial"/>
                <w:sz w:val="16"/>
                <w:szCs w:val="16"/>
              </w:rPr>
              <w:t xml:space="preserve">jednowymiarowych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zmiennych losowych, </w:t>
            </w:r>
            <w:r w:rsidR="00C85875">
              <w:rPr>
                <w:rFonts w:ascii="Arial" w:hAnsi="Arial" w:cs="Arial"/>
                <w:sz w:val="16"/>
                <w:szCs w:val="16"/>
              </w:rPr>
              <w:t>umie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358F">
              <w:rPr>
                <w:rFonts w:ascii="Arial" w:hAnsi="Arial" w:cs="Arial"/>
                <w:sz w:val="16"/>
                <w:szCs w:val="16"/>
              </w:rPr>
              <w:t>obliczać charakterystyki liczbowe zmiennych losowych</w:t>
            </w:r>
          </w:p>
          <w:p w:rsidR="0000740A" w:rsidRDefault="00806D5F" w:rsidP="0087358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F614B7">
              <w:rPr>
                <w:rFonts w:ascii="Arial" w:hAnsi="Arial" w:cs="Arial"/>
                <w:sz w:val="16"/>
                <w:szCs w:val="16"/>
              </w:rPr>
              <w:t xml:space="preserve">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badać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>niezależność zmiennych losowych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C353A">
              <w:rPr>
                <w:rFonts w:ascii="Arial" w:hAnsi="Arial" w:cs="Arial"/>
                <w:sz w:val="16"/>
                <w:szCs w:val="16"/>
              </w:rPr>
              <w:t>i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wyznaczać ich współczynniki korelacji, </w:t>
            </w:r>
            <w:r w:rsidR="00C85875">
              <w:rPr>
                <w:rFonts w:ascii="Arial" w:hAnsi="Arial" w:cs="Arial"/>
                <w:sz w:val="16"/>
                <w:szCs w:val="16"/>
              </w:rPr>
              <w:t>umie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także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 xml:space="preserve">określać rozkłady brzegowe </w:t>
            </w:r>
            <w:r w:rsidR="005C353A">
              <w:rPr>
                <w:rFonts w:ascii="Arial" w:hAnsi="Arial" w:cs="Arial"/>
                <w:sz w:val="16"/>
                <w:szCs w:val="16"/>
              </w:rPr>
              <w:t>oraz</w:t>
            </w:r>
            <w:r w:rsidR="0087358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F1345">
              <w:rPr>
                <w:rFonts w:ascii="Arial" w:hAnsi="Arial" w:cs="Arial"/>
                <w:sz w:val="16"/>
                <w:szCs w:val="16"/>
              </w:rPr>
              <w:t xml:space="preserve">rozkłady </w:t>
            </w:r>
            <w:r w:rsidR="0087358F" w:rsidRPr="00F614B7">
              <w:rPr>
                <w:rFonts w:ascii="Arial" w:hAnsi="Arial" w:cs="Arial"/>
                <w:sz w:val="16"/>
                <w:szCs w:val="16"/>
              </w:rPr>
              <w:t>warunkowe</w:t>
            </w:r>
          </w:p>
          <w:p w:rsidR="00932037" w:rsidRPr="00051A36" w:rsidRDefault="00806D5F" w:rsidP="009320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stosować ważniejsze nierówności, </w:t>
            </w:r>
            <w:r w:rsidR="00AA7542">
              <w:rPr>
                <w:rFonts w:ascii="Arial" w:hAnsi="Arial" w:cs="Arial"/>
                <w:sz w:val="16"/>
                <w:szCs w:val="16"/>
              </w:rPr>
              <w:t xml:space="preserve">jak również 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>przybliżenia</w:t>
            </w:r>
            <w:r w:rsidR="009320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>oraz twierdzenia graniczne rachunku prawdopodobieństwa</w:t>
            </w:r>
          </w:p>
          <w:p w:rsidR="00932037" w:rsidRDefault="00806D5F" w:rsidP="009320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wyznaczać realizacje przedziałów u</w:t>
            </w:r>
            <w:r w:rsidR="00932037">
              <w:rPr>
                <w:rFonts w:ascii="Arial" w:hAnsi="Arial" w:cs="Arial"/>
                <w:sz w:val="16"/>
                <w:szCs w:val="16"/>
              </w:rPr>
              <w:t xml:space="preserve">fności </w:t>
            </w:r>
            <w:r w:rsidR="00BC5B43">
              <w:rPr>
                <w:rFonts w:ascii="Arial" w:hAnsi="Arial" w:cs="Arial"/>
                <w:sz w:val="16"/>
                <w:szCs w:val="16"/>
              </w:rPr>
              <w:t>oraz</w:t>
            </w:r>
            <w:r w:rsidR="00932037">
              <w:rPr>
                <w:rFonts w:ascii="Arial" w:hAnsi="Arial" w:cs="Arial"/>
                <w:sz w:val="16"/>
                <w:szCs w:val="16"/>
              </w:rPr>
              <w:t xml:space="preserve"> interpretować uzyskane wyniki</w:t>
            </w:r>
          </w:p>
          <w:p w:rsidR="00932037" w:rsidRDefault="00806D5F" w:rsidP="009320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93203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C85875">
              <w:rPr>
                <w:rFonts w:ascii="Arial" w:hAnsi="Arial" w:cs="Arial"/>
                <w:sz w:val="16"/>
                <w:szCs w:val="16"/>
              </w:rPr>
              <w:t>potrafi</w:t>
            </w:r>
            <w:r w:rsidR="00932037" w:rsidRPr="00051A36">
              <w:rPr>
                <w:rFonts w:ascii="Arial" w:hAnsi="Arial" w:cs="Arial"/>
                <w:sz w:val="16"/>
                <w:szCs w:val="16"/>
              </w:rPr>
              <w:t xml:space="preserve"> stosować </w:t>
            </w:r>
            <w:r w:rsidR="00557F8B">
              <w:rPr>
                <w:rFonts w:ascii="Arial" w:hAnsi="Arial" w:cs="Arial"/>
                <w:sz w:val="16"/>
                <w:szCs w:val="16"/>
              </w:rPr>
              <w:t>podstawowe</w:t>
            </w:r>
            <w:r w:rsidR="00932037">
              <w:rPr>
                <w:rFonts w:ascii="Arial" w:hAnsi="Arial" w:cs="Arial"/>
                <w:sz w:val="16"/>
                <w:szCs w:val="16"/>
              </w:rPr>
              <w:t xml:space="preserve"> testy statystyczne (zarówno parametryczne, jak i </w:t>
            </w:r>
            <w:r w:rsidR="00DE35A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32037">
              <w:rPr>
                <w:rFonts w:ascii="Arial" w:hAnsi="Arial" w:cs="Arial"/>
                <w:sz w:val="16"/>
                <w:szCs w:val="16"/>
              </w:rPr>
              <w:t>nieparametryczne)</w:t>
            </w:r>
          </w:p>
          <w:p w:rsidR="00277D1E" w:rsidRPr="00277D1E" w:rsidRDefault="00277D1E" w:rsidP="009320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D2C3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kolokwia z treści ćwiczeń, egzamin złożony z części zadaniowej i części teoretycznej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D2C3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Pliki z wynik</w:t>
            </w:r>
            <w:r w:rsidR="000E5104">
              <w:rPr>
                <w:rFonts w:ascii="Arial" w:hAnsi="Arial" w:cs="Arial"/>
                <w:sz w:val="16"/>
                <w:szCs w:val="16"/>
              </w:rPr>
              <w:t>ami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ćwiczeń (za kolokwia oraz </w:t>
            </w:r>
            <w:r w:rsidR="00DE5428">
              <w:rPr>
                <w:rFonts w:ascii="Arial" w:hAnsi="Arial" w:cs="Arial"/>
                <w:sz w:val="16"/>
                <w:szCs w:val="16"/>
              </w:rPr>
              <w:t xml:space="preserve">za 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aktywność) i </w:t>
            </w:r>
            <w:r>
              <w:rPr>
                <w:rFonts w:ascii="Arial" w:hAnsi="Arial" w:cs="Arial"/>
                <w:sz w:val="16"/>
                <w:szCs w:val="16"/>
              </w:rPr>
              <w:t>egzaminów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, prace z kolokwiów </w:t>
            </w:r>
            <w:r w:rsidR="00ED2F3A">
              <w:rPr>
                <w:rFonts w:ascii="Arial" w:hAnsi="Arial" w:cs="Arial"/>
                <w:sz w:val="16"/>
                <w:szCs w:val="16"/>
              </w:rPr>
              <w:t>i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 egzaminów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B1EB6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>Okresowe prace pisemne</w:t>
            </w:r>
            <w:r w:rsidR="00FF13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aktywność</w:t>
            </w:r>
            <w:r w:rsidRPr="00AE4E7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50%,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2B1EB6" w:rsidRPr="0081552D">
              <w:rPr>
                <w:rFonts w:ascii="Arial" w:hAnsi="Arial" w:cs="Arial"/>
                <w:sz w:val="16"/>
                <w:szCs w:val="16"/>
              </w:rPr>
              <w:t>–</w:t>
            </w:r>
            <w:r w:rsidR="002B1EB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audytoryjna, ćwiczenia laboratoryjne – </w:t>
            </w:r>
            <w:r w:rsidR="002B1EB6">
              <w:rPr>
                <w:rFonts w:ascii="Arial" w:hAnsi="Arial" w:cs="Arial"/>
                <w:sz w:val="16"/>
                <w:szCs w:val="16"/>
              </w:rPr>
              <w:t>sala dydaktyczna do ćwiczeń</w:t>
            </w:r>
          </w:p>
        </w:tc>
      </w:tr>
      <w:tr w:rsidR="00ED11F9" w:rsidRPr="003175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317537" w:rsidRPr="00B961AA" w:rsidRDefault="00317537" w:rsidP="003175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61AA">
              <w:rPr>
                <w:rFonts w:ascii="Arial" w:hAnsi="Arial" w:cs="Arial"/>
                <w:sz w:val="16"/>
                <w:szCs w:val="16"/>
              </w:rPr>
              <w:t xml:space="preserve">1. J. Jakubowski, R. Sztencel, „Rachunek prawdopodobieństwa dla (prawie) każdego”, Wydawnictwo Script, Warszawa, Wydanie II, 2006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    </w:t>
            </w:r>
            <w:r w:rsidRPr="00B961AA">
              <w:rPr>
                <w:rFonts w:ascii="Arial" w:hAnsi="Arial" w:cs="Arial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sz w:val="16"/>
                <w:szCs w:val="16"/>
              </w:rPr>
              <w:t>lub</w:t>
            </w:r>
            <w:r w:rsidRPr="00B961AA">
              <w:rPr>
                <w:rFonts w:ascii="Arial" w:hAnsi="Arial" w:cs="Arial"/>
                <w:sz w:val="16"/>
                <w:szCs w:val="16"/>
              </w:rPr>
              <w:t xml:space="preserve"> późniejsze),</w:t>
            </w:r>
          </w:p>
          <w:p w:rsidR="00317537" w:rsidRDefault="00317537" w:rsidP="0031753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961AA">
              <w:rPr>
                <w:rFonts w:ascii="Arial" w:hAnsi="Arial" w:cs="Arial"/>
                <w:sz w:val="16"/>
                <w:szCs w:val="16"/>
              </w:rPr>
              <w:t xml:space="preserve">2. J. Koronacki, J. Mielniczuk, „Statystyka dla kierunków technicznych i przyrodniczych”, </w:t>
            </w:r>
            <w:r w:rsidRPr="00AE0C37">
              <w:rPr>
                <w:rFonts w:ascii="Arial" w:hAnsi="Arial" w:cs="Arial"/>
                <w:sz w:val="16"/>
                <w:szCs w:val="16"/>
              </w:rPr>
              <w:t>WNT</w:t>
            </w:r>
            <w:r w:rsidRPr="00B961AA">
              <w:rPr>
                <w:rFonts w:ascii="Arial" w:hAnsi="Arial" w:cs="Arial"/>
                <w:sz w:val="16"/>
                <w:szCs w:val="16"/>
              </w:rPr>
              <w:t>, Warszawa, 2001 (lub późniejsze),</w:t>
            </w:r>
          </w:p>
          <w:p w:rsidR="00ED11F9" w:rsidRPr="00317537" w:rsidRDefault="00317537" w:rsidP="00317537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Pr="00A757F6">
              <w:rPr>
                <w:rFonts w:ascii="Arial" w:hAnsi="Arial" w:cs="Arial"/>
                <w:sz w:val="16"/>
                <w:szCs w:val="16"/>
              </w:rPr>
              <w:t>. W. Niemiro, „Rachunek prawdopodobieństwa i statystyka matematyczna”, Szkoła Nauk Ścisłych, Warszawa, 1999.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31753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B555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  <w:r w:rsidR="00FC2237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C22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1</w:t>
            </w:r>
          </w:p>
        </w:tc>
        <w:tc>
          <w:tcPr>
            <w:tcW w:w="4563" w:type="dxa"/>
          </w:tcPr>
          <w:p w:rsidR="000B6638" w:rsidRPr="00C306A4" w:rsidRDefault="005D3A5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definicje doświadczenia losowego, zdarzenia elementarnego, zdarzenia losowego i przestrzeni probabilistycznej, zna także definicję częstości oraz definicję prawdopodobieństwa, jak również aksjomaty prawdopodobieństwa i wynikające z tych aksjomatów własności prawdopodobieństwa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9208E2" w:rsidRDefault="009208E2" w:rsidP="000B66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lastRenderedPageBreak/>
              <w:t xml:space="preserve">Wiedza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0B6638" w:rsidRPr="00FB1C10" w:rsidRDefault="004C340E" w:rsidP="000B663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twierdzenia dotyczące rachunku prawdopodobieństwa, umie badać niezależność zdarzeń losowych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9208E2" w:rsidRDefault="00CD3D2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B6638" w:rsidRPr="00FB1C10" w:rsidRDefault="000B6638" w:rsidP="000B6638">
            <w:pPr>
              <w:jc w:val="both"/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pojęcie jednowymiarowej zmiennej losowej i jej rozkładu oraz definicje podstawowych charakterystyk tej zmiennej losowej, potrafi także podać definicje oraz własności dystrybuanty i gęstości jednowymiarowej zmiennej losowej, zna także własności wartości oczekiwanej oraz wariancji, potrafi wymienić najważniejsze rozkłady jednowymiarowych zmiennych losowych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B6638" w:rsidRPr="0081552D" w:rsidRDefault="000B663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pojęcie dwuwymiarowej zmiennej losowej oraz definicje jej rozkładu łącznego i rozkładów brzegowych, umie podać definicje dystrybuanty oraz gęstości dwuwymiarowej zmiennej losowej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Default="000B6638" w:rsidP="000B66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0B6638" w:rsidRPr="0081552D" w:rsidRDefault="000B663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twierdzenia i nierówności dotyczące zmiennych losowych, potrafi badać niezależność zmiennych losowych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9208E2" w:rsidRDefault="00CD3D2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4563" w:type="dxa"/>
          </w:tcPr>
          <w:p w:rsidR="000B6638" w:rsidRDefault="000B663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pojęcia i definicje statystyki matematycznej, umie podać wzory na najpopularniejsze przedziały ufności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Pr="009208E2" w:rsidRDefault="00CD3D2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 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4563" w:type="dxa"/>
          </w:tcPr>
          <w:p w:rsidR="000B6638" w:rsidRDefault="000B6638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testy statystyczne (parametryczne oraz nieparametryczne)</w:t>
            </w:r>
          </w:p>
        </w:tc>
        <w:tc>
          <w:tcPr>
            <w:tcW w:w="3001" w:type="dxa"/>
          </w:tcPr>
          <w:p w:rsidR="000B6638" w:rsidRPr="0052772A" w:rsidRDefault="000B6638" w:rsidP="000B6638">
            <w:pPr>
              <w:rPr>
                <w:bCs/>
                <w:sz w:val="18"/>
                <w:szCs w:val="18"/>
              </w:rPr>
            </w:pPr>
            <w:r w:rsidRPr="00146D70">
              <w:rPr>
                <w:bCs/>
                <w:sz w:val="18"/>
                <w:szCs w:val="18"/>
              </w:rPr>
              <w:t>K_W01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146D70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0B6638" w:rsidRDefault="000B6638" w:rsidP="000B663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0B6638" w:rsidRPr="00FB1C10" w:rsidRDefault="003A2C2E" w:rsidP="000B663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 określać przestrzenie pr</w:t>
            </w:r>
            <w:r w:rsidR="000B6638">
              <w:rPr>
                <w:rFonts w:ascii="Arial" w:hAnsi="Arial" w:cs="Arial"/>
                <w:sz w:val="16"/>
                <w:szCs w:val="16"/>
              </w:rPr>
              <w:t>obabilistyczne i zdarze</w:t>
            </w:r>
            <w:r w:rsidR="00C54C9A">
              <w:rPr>
                <w:rFonts w:ascii="Arial" w:hAnsi="Arial" w:cs="Arial"/>
                <w:sz w:val="16"/>
                <w:szCs w:val="16"/>
              </w:rPr>
              <w:t>nia losowe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umie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>wykonywać oper</w:t>
            </w:r>
            <w:r w:rsidR="000B6638">
              <w:rPr>
                <w:rFonts w:ascii="Arial" w:hAnsi="Arial" w:cs="Arial"/>
                <w:sz w:val="16"/>
                <w:szCs w:val="16"/>
              </w:rPr>
              <w:t>acje na zdarzeniach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0B6638" w:rsidP="000B6638">
            <w:pPr>
              <w:rPr>
                <w:bCs/>
                <w:sz w:val="18"/>
                <w:szCs w:val="18"/>
              </w:rPr>
            </w:pPr>
            <w:r w:rsidRPr="009208E2"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0B6638" w:rsidRPr="003B1B7D" w:rsidRDefault="0051753A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 obliczać prawdopodobieństwa, korzystając z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definicji prawdopodobieństwa klasycznego 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oraz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prawdopodobieństwa geometrycznego, 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jak również ze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>wzorów na prawdopodobieństwo warunkowe i całkowite, wzoru Bayesa, wzoru włączeń i wyłącze</w:t>
            </w:r>
            <w:r w:rsidR="00FE7A0D">
              <w:rPr>
                <w:rFonts w:ascii="Arial" w:hAnsi="Arial" w:cs="Arial"/>
                <w:sz w:val="16"/>
                <w:szCs w:val="16"/>
              </w:rPr>
              <w:t>ń</w:t>
            </w:r>
            <w:r w:rsidR="00556964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 wzoru łańcuchowego, </w:t>
            </w:r>
            <w:r>
              <w:rPr>
                <w:rFonts w:ascii="Arial" w:hAnsi="Arial" w:cs="Arial"/>
                <w:sz w:val="16"/>
                <w:szCs w:val="16"/>
              </w:rPr>
              <w:t>umie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badać niezależność zdarzeń </w:t>
            </w:r>
            <w:r w:rsidR="00556964">
              <w:rPr>
                <w:rFonts w:ascii="Arial" w:hAnsi="Arial" w:cs="Arial"/>
                <w:sz w:val="16"/>
                <w:szCs w:val="16"/>
              </w:rPr>
              <w:t>i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>stosować schemat Bernoulliego</w:t>
            </w:r>
          </w:p>
        </w:tc>
        <w:tc>
          <w:tcPr>
            <w:tcW w:w="3001" w:type="dxa"/>
          </w:tcPr>
          <w:p w:rsidR="000B6638" w:rsidRPr="00822045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CD3D2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0B6638" w:rsidRPr="00FB1C10" w:rsidRDefault="00C85875" w:rsidP="000B6638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 wyznaczać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dystrybuanty i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gęstości rozkładów 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jednowymiarowych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zmiennych losowych, </w:t>
            </w:r>
            <w:r>
              <w:rPr>
                <w:rFonts w:ascii="Arial" w:hAnsi="Arial" w:cs="Arial"/>
                <w:sz w:val="16"/>
                <w:szCs w:val="16"/>
              </w:rPr>
              <w:t>umie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B6638">
              <w:rPr>
                <w:rFonts w:ascii="Arial" w:hAnsi="Arial" w:cs="Arial"/>
                <w:sz w:val="16"/>
                <w:szCs w:val="16"/>
              </w:rPr>
              <w:t>obliczać charakterystyki liczbowe zmiennych losowych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B6638" w:rsidRPr="004D3A26" w:rsidRDefault="005C353A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badać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>niezależność zmiennych losowych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wyznaczać ich współczynniki korelacji, </w:t>
            </w:r>
            <w:r>
              <w:rPr>
                <w:rFonts w:ascii="Arial" w:hAnsi="Arial" w:cs="Arial"/>
                <w:sz w:val="16"/>
                <w:szCs w:val="16"/>
              </w:rPr>
              <w:t>umie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także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 xml:space="preserve">określać rozkłady brzegowe </w:t>
            </w:r>
            <w:r>
              <w:rPr>
                <w:rFonts w:ascii="Arial" w:hAnsi="Arial" w:cs="Arial"/>
                <w:sz w:val="16"/>
                <w:szCs w:val="16"/>
              </w:rPr>
              <w:t>oraz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54C9A">
              <w:rPr>
                <w:rFonts w:ascii="Arial" w:hAnsi="Arial" w:cs="Arial"/>
                <w:sz w:val="16"/>
                <w:szCs w:val="16"/>
              </w:rPr>
              <w:t xml:space="preserve">rozkłady </w:t>
            </w:r>
            <w:r w:rsidR="000B6638" w:rsidRPr="00F614B7">
              <w:rPr>
                <w:rFonts w:ascii="Arial" w:hAnsi="Arial" w:cs="Arial"/>
                <w:sz w:val="16"/>
                <w:szCs w:val="16"/>
              </w:rPr>
              <w:t>warunkowe</w:t>
            </w:r>
          </w:p>
        </w:tc>
        <w:tc>
          <w:tcPr>
            <w:tcW w:w="3001" w:type="dxa"/>
          </w:tcPr>
          <w:p w:rsidR="000B6638" w:rsidRPr="00822045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0B6638" w:rsidRPr="004D3A26" w:rsidRDefault="00AA7542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="000B6638" w:rsidRPr="00051A36">
              <w:rPr>
                <w:rFonts w:ascii="Arial" w:hAnsi="Arial" w:cs="Arial"/>
                <w:sz w:val="16"/>
                <w:szCs w:val="16"/>
              </w:rPr>
              <w:t xml:space="preserve"> stosować ważniejsze nierówności, </w:t>
            </w:r>
            <w:r>
              <w:rPr>
                <w:rFonts w:ascii="Arial" w:hAnsi="Arial" w:cs="Arial"/>
                <w:sz w:val="16"/>
                <w:szCs w:val="16"/>
              </w:rPr>
              <w:t xml:space="preserve">jak również </w:t>
            </w:r>
            <w:r w:rsidR="000B6638" w:rsidRPr="00051A36">
              <w:rPr>
                <w:rFonts w:ascii="Arial" w:hAnsi="Arial" w:cs="Arial"/>
                <w:sz w:val="16"/>
                <w:szCs w:val="16"/>
              </w:rPr>
              <w:t>przybliżenia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B6638" w:rsidRPr="00051A36">
              <w:rPr>
                <w:rFonts w:ascii="Arial" w:hAnsi="Arial" w:cs="Arial"/>
                <w:sz w:val="16"/>
                <w:szCs w:val="16"/>
              </w:rPr>
              <w:t>oraz twierdzenia graniczne rachunku prawdopodobieństwa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4563" w:type="dxa"/>
          </w:tcPr>
          <w:p w:rsidR="000B6638" w:rsidRDefault="00BC5B43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="000B6638" w:rsidRPr="00051A36">
              <w:rPr>
                <w:rFonts w:ascii="Arial" w:hAnsi="Arial" w:cs="Arial"/>
                <w:sz w:val="16"/>
                <w:szCs w:val="16"/>
              </w:rPr>
              <w:t xml:space="preserve"> wyznaczać realizacje przedziałów u</w:t>
            </w:r>
            <w:r w:rsidR="000B6638">
              <w:rPr>
                <w:rFonts w:ascii="Arial" w:hAnsi="Arial" w:cs="Arial"/>
                <w:sz w:val="16"/>
                <w:szCs w:val="16"/>
              </w:rPr>
              <w:t xml:space="preserve">fności </w:t>
            </w:r>
            <w:r>
              <w:rPr>
                <w:rFonts w:ascii="Arial" w:hAnsi="Arial" w:cs="Arial"/>
                <w:sz w:val="16"/>
                <w:szCs w:val="16"/>
              </w:rPr>
              <w:t>oraz </w:t>
            </w:r>
            <w:r w:rsidR="000B6638">
              <w:rPr>
                <w:rFonts w:ascii="Arial" w:hAnsi="Arial" w:cs="Arial"/>
                <w:sz w:val="16"/>
                <w:szCs w:val="16"/>
              </w:rPr>
              <w:t>interpretować uzyskane wyniki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B6638" w:rsidRPr="00FB1C10" w:rsidTr="0093211F">
        <w:tc>
          <w:tcPr>
            <w:tcW w:w="1547" w:type="dxa"/>
          </w:tcPr>
          <w:p w:rsidR="000B6638" w:rsidRPr="00091137" w:rsidRDefault="000B6638" w:rsidP="000B663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4563" w:type="dxa"/>
          </w:tcPr>
          <w:p w:rsidR="000B6638" w:rsidRPr="00051A36" w:rsidRDefault="00BC5B43" w:rsidP="000B66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</w:t>
            </w:r>
            <w:r w:rsidR="000B6638" w:rsidRPr="00051A36">
              <w:rPr>
                <w:rFonts w:ascii="Arial" w:hAnsi="Arial" w:cs="Arial"/>
                <w:sz w:val="16"/>
                <w:szCs w:val="16"/>
              </w:rPr>
              <w:t xml:space="preserve"> stosować </w:t>
            </w:r>
            <w:r w:rsidR="000B6638">
              <w:rPr>
                <w:rFonts w:ascii="Arial" w:hAnsi="Arial" w:cs="Arial"/>
                <w:sz w:val="16"/>
                <w:szCs w:val="16"/>
              </w:rPr>
              <w:t>podstawowe testy statystyczne (zarówno parametryczne, jak 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B6638">
              <w:rPr>
                <w:rFonts w:ascii="Arial" w:hAnsi="Arial" w:cs="Arial"/>
                <w:sz w:val="16"/>
                <w:szCs w:val="16"/>
              </w:rPr>
              <w:t>nieparametryczne)</w:t>
            </w:r>
          </w:p>
        </w:tc>
        <w:tc>
          <w:tcPr>
            <w:tcW w:w="3001" w:type="dxa"/>
          </w:tcPr>
          <w:p w:rsidR="000B6638" w:rsidRPr="00FB1C10" w:rsidRDefault="000B6638" w:rsidP="000B6638">
            <w:pPr>
              <w:rPr>
                <w:bCs/>
                <w:sz w:val="18"/>
                <w:szCs w:val="18"/>
              </w:rPr>
            </w:pPr>
            <w:r w:rsidRPr="00822045">
              <w:rPr>
                <w:bCs/>
                <w:sz w:val="18"/>
                <w:szCs w:val="18"/>
              </w:rPr>
              <w:t>K_U01</w:t>
            </w:r>
            <w:r>
              <w:rPr>
                <w:bCs/>
                <w:sz w:val="18"/>
                <w:szCs w:val="18"/>
              </w:rPr>
              <w:t xml:space="preserve"> / </w:t>
            </w:r>
            <w:r w:rsidRPr="00822045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0B6638" w:rsidRPr="009208E2" w:rsidRDefault="009266CC" w:rsidP="000B6638">
            <w:pPr>
              <w:rPr>
                <w:bCs/>
                <w:strike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ABE" w:rsidRDefault="00310ABE" w:rsidP="002C0CA5">
      <w:pPr>
        <w:spacing w:line="240" w:lineRule="auto"/>
      </w:pPr>
      <w:r>
        <w:separator/>
      </w:r>
    </w:p>
  </w:endnote>
  <w:endnote w:type="continuationSeparator" w:id="0">
    <w:p w:rsidR="00310ABE" w:rsidRDefault="00310AB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ABE" w:rsidRDefault="00310ABE" w:rsidP="002C0CA5">
      <w:pPr>
        <w:spacing w:line="240" w:lineRule="auto"/>
      </w:pPr>
      <w:r>
        <w:separator/>
      </w:r>
    </w:p>
  </w:footnote>
  <w:footnote w:type="continuationSeparator" w:id="0">
    <w:p w:rsidR="00310ABE" w:rsidRDefault="00310AB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0B4552A"/>
    <w:multiLevelType w:val="hybridMultilevel"/>
    <w:tmpl w:val="5890F072"/>
    <w:lvl w:ilvl="0" w:tplc="A6327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0274E"/>
    <w:rsid w:val="0000740A"/>
    <w:rsid w:val="00077302"/>
    <w:rsid w:val="000834BC"/>
    <w:rsid w:val="00087B40"/>
    <w:rsid w:val="00091137"/>
    <w:rsid w:val="00094972"/>
    <w:rsid w:val="000968B8"/>
    <w:rsid w:val="000B6638"/>
    <w:rsid w:val="000C2944"/>
    <w:rsid w:val="000C4232"/>
    <w:rsid w:val="000E5104"/>
    <w:rsid w:val="000F323E"/>
    <w:rsid w:val="00131E28"/>
    <w:rsid w:val="00146D70"/>
    <w:rsid w:val="00150C82"/>
    <w:rsid w:val="00151533"/>
    <w:rsid w:val="0018310D"/>
    <w:rsid w:val="0019096D"/>
    <w:rsid w:val="001B2DFC"/>
    <w:rsid w:val="001B609E"/>
    <w:rsid w:val="001C6E87"/>
    <w:rsid w:val="001F7B05"/>
    <w:rsid w:val="0020173F"/>
    <w:rsid w:val="00207BBF"/>
    <w:rsid w:val="00257F00"/>
    <w:rsid w:val="00277D1E"/>
    <w:rsid w:val="0029380B"/>
    <w:rsid w:val="00296BDC"/>
    <w:rsid w:val="002A6884"/>
    <w:rsid w:val="002B1EB6"/>
    <w:rsid w:val="002C0CA5"/>
    <w:rsid w:val="002D7990"/>
    <w:rsid w:val="002F6AC2"/>
    <w:rsid w:val="00310ABE"/>
    <w:rsid w:val="00317537"/>
    <w:rsid w:val="00327A73"/>
    <w:rsid w:val="00341D25"/>
    <w:rsid w:val="00341DBB"/>
    <w:rsid w:val="00347201"/>
    <w:rsid w:val="003524D5"/>
    <w:rsid w:val="0036131B"/>
    <w:rsid w:val="00367322"/>
    <w:rsid w:val="00370545"/>
    <w:rsid w:val="003A2C2E"/>
    <w:rsid w:val="003A455D"/>
    <w:rsid w:val="003B1B7D"/>
    <w:rsid w:val="003B680D"/>
    <w:rsid w:val="003E5B06"/>
    <w:rsid w:val="003F5B2B"/>
    <w:rsid w:val="003F653C"/>
    <w:rsid w:val="004140DE"/>
    <w:rsid w:val="00425A4F"/>
    <w:rsid w:val="00457726"/>
    <w:rsid w:val="00481690"/>
    <w:rsid w:val="00491C88"/>
    <w:rsid w:val="004C340E"/>
    <w:rsid w:val="004D3A26"/>
    <w:rsid w:val="004E18EB"/>
    <w:rsid w:val="004E6AFB"/>
    <w:rsid w:val="004F1CF3"/>
    <w:rsid w:val="004F5168"/>
    <w:rsid w:val="005042F0"/>
    <w:rsid w:val="005116C6"/>
    <w:rsid w:val="0051753A"/>
    <w:rsid w:val="0052772A"/>
    <w:rsid w:val="0052788F"/>
    <w:rsid w:val="00527FAD"/>
    <w:rsid w:val="00545525"/>
    <w:rsid w:val="005539F4"/>
    <w:rsid w:val="00556964"/>
    <w:rsid w:val="00557F8B"/>
    <w:rsid w:val="00566310"/>
    <w:rsid w:val="00595B48"/>
    <w:rsid w:val="005B1396"/>
    <w:rsid w:val="005C353A"/>
    <w:rsid w:val="005D3957"/>
    <w:rsid w:val="005D3A58"/>
    <w:rsid w:val="00602790"/>
    <w:rsid w:val="00616FCE"/>
    <w:rsid w:val="0062609A"/>
    <w:rsid w:val="006674DC"/>
    <w:rsid w:val="006722FF"/>
    <w:rsid w:val="00684D34"/>
    <w:rsid w:val="006970FD"/>
    <w:rsid w:val="006C766B"/>
    <w:rsid w:val="006D34A0"/>
    <w:rsid w:val="006D3BA4"/>
    <w:rsid w:val="006F5433"/>
    <w:rsid w:val="0071391C"/>
    <w:rsid w:val="0071525A"/>
    <w:rsid w:val="0072568B"/>
    <w:rsid w:val="00735F91"/>
    <w:rsid w:val="00737AC6"/>
    <w:rsid w:val="00756BC9"/>
    <w:rsid w:val="007744D4"/>
    <w:rsid w:val="007D736E"/>
    <w:rsid w:val="007D7F41"/>
    <w:rsid w:val="00806D5F"/>
    <w:rsid w:val="008143F5"/>
    <w:rsid w:val="00822045"/>
    <w:rsid w:val="00860FAB"/>
    <w:rsid w:val="0087358F"/>
    <w:rsid w:val="00887968"/>
    <w:rsid w:val="008A0055"/>
    <w:rsid w:val="008A3A8B"/>
    <w:rsid w:val="008A7E72"/>
    <w:rsid w:val="008B4255"/>
    <w:rsid w:val="008C183A"/>
    <w:rsid w:val="008C5679"/>
    <w:rsid w:val="008C6457"/>
    <w:rsid w:val="008F7E6F"/>
    <w:rsid w:val="00912188"/>
    <w:rsid w:val="009208E2"/>
    <w:rsid w:val="00925376"/>
    <w:rsid w:val="009266CC"/>
    <w:rsid w:val="00932037"/>
    <w:rsid w:val="0093211F"/>
    <w:rsid w:val="00965A2D"/>
    <w:rsid w:val="00966E0B"/>
    <w:rsid w:val="00977915"/>
    <w:rsid w:val="009859E1"/>
    <w:rsid w:val="009B21A4"/>
    <w:rsid w:val="009D117E"/>
    <w:rsid w:val="009E71F1"/>
    <w:rsid w:val="009E78E7"/>
    <w:rsid w:val="00A43564"/>
    <w:rsid w:val="00A51B63"/>
    <w:rsid w:val="00A52EDD"/>
    <w:rsid w:val="00A61532"/>
    <w:rsid w:val="00A77A56"/>
    <w:rsid w:val="00AA7542"/>
    <w:rsid w:val="00AB555C"/>
    <w:rsid w:val="00AE4C60"/>
    <w:rsid w:val="00B2721F"/>
    <w:rsid w:val="00B4473D"/>
    <w:rsid w:val="00B60D2C"/>
    <w:rsid w:val="00B752C7"/>
    <w:rsid w:val="00BA14D8"/>
    <w:rsid w:val="00BC5B43"/>
    <w:rsid w:val="00BF1201"/>
    <w:rsid w:val="00BF64B0"/>
    <w:rsid w:val="00C24340"/>
    <w:rsid w:val="00C306A4"/>
    <w:rsid w:val="00C51392"/>
    <w:rsid w:val="00C54C9A"/>
    <w:rsid w:val="00C567E6"/>
    <w:rsid w:val="00C575AE"/>
    <w:rsid w:val="00C66056"/>
    <w:rsid w:val="00C67B8A"/>
    <w:rsid w:val="00C71AD9"/>
    <w:rsid w:val="00C85875"/>
    <w:rsid w:val="00CB3C49"/>
    <w:rsid w:val="00CD0414"/>
    <w:rsid w:val="00CD3D2C"/>
    <w:rsid w:val="00CF0B02"/>
    <w:rsid w:val="00CF5321"/>
    <w:rsid w:val="00D10DC0"/>
    <w:rsid w:val="00D12881"/>
    <w:rsid w:val="00D40A2E"/>
    <w:rsid w:val="00D4551A"/>
    <w:rsid w:val="00D53306"/>
    <w:rsid w:val="00D92E5D"/>
    <w:rsid w:val="00DA46B2"/>
    <w:rsid w:val="00DA5BEA"/>
    <w:rsid w:val="00DC4191"/>
    <w:rsid w:val="00DC5DCD"/>
    <w:rsid w:val="00DD2C32"/>
    <w:rsid w:val="00DE35A8"/>
    <w:rsid w:val="00DE5428"/>
    <w:rsid w:val="00DE781F"/>
    <w:rsid w:val="00E00C9D"/>
    <w:rsid w:val="00E4596B"/>
    <w:rsid w:val="00E74D19"/>
    <w:rsid w:val="00E9280C"/>
    <w:rsid w:val="00EB4942"/>
    <w:rsid w:val="00EB756E"/>
    <w:rsid w:val="00ED11F9"/>
    <w:rsid w:val="00ED28D9"/>
    <w:rsid w:val="00ED2F3A"/>
    <w:rsid w:val="00EE4F54"/>
    <w:rsid w:val="00F1321B"/>
    <w:rsid w:val="00F17173"/>
    <w:rsid w:val="00F4065B"/>
    <w:rsid w:val="00F64238"/>
    <w:rsid w:val="00F656B4"/>
    <w:rsid w:val="00F87AA3"/>
    <w:rsid w:val="00FA0B69"/>
    <w:rsid w:val="00FB2DB7"/>
    <w:rsid w:val="00FB5FB4"/>
    <w:rsid w:val="00FC2237"/>
    <w:rsid w:val="00FD14F0"/>
    <w:rsid w:val="00FD6B5E"/>
    <w:rsid w:val="00FE5DB6"/>
    <w:rsid w:val="00FE63CA"/>
    <w:rsid w:val="00FE7A0D"/>
    <w:rsid w:val="00FF1345"/>
    <w:rsid w:val="00FF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1562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36</cp:revision>
  <cp:lastPrinted>2019-03-18T08:34:00Z</cp:lastPrinted>
  <dcterms:created xsi:type="dcterms:W3CDTF">2019-05-03T17:36:00Z</dcterms:created>
  <dcterms:modified xsi:type="dcterms:W3CDTF">2019-05-13T12:30:00Z</dcterms:modified>
</cp:coreProperties>
</file>