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946" w:rsidRDefault="001A494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1A4946" w:rsidRDefault="00407283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32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031"/>
        <w:gridCol w:w="1380"/>
        <w:gridCol w:w="380"/>
        <w:gridCol w:w="1178"/>
        <w:gridCol w:w="993"/>
        <w:gridCol w:w="609"/>
        <w:gridCol w:w="809"/>
        <w:gridCol w:w="443"/>
        <w:gridCol w:w="647"/>
        <w:gridCol w:w="371"/>
      </w:tblGrid>
      <w:tr w:rsidR="001A4946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oprogramowania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A4946" w:rsidRDefault="00407283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1A4946" w:rsidRDefault="00407283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Software engineering</w:t>
            </w: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1A4946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4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A4946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1A4946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</w:p>
          <w:p w:rsidR="001A4946" w:rsidRDefault="00407283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1A4946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A4946" w:rsidRDefault="001A494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A4946" w:rsidRDefault="001A494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4946" w:rsidRDefault="0040728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4946" w:rsidRDefault="00407283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4946" w:rsidRDefault="0040728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4946" w:rsidRDefault="0040728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ZIM-IN-1Z-04L-20</w:t>
            </w:r>
          </w:p>
        </w:tc>
      </w:tr>
      <w:tr w:rsidR="001A4946">
        <w:trPr>
          <w:trHeight w:val="227"/>
        </w:trPr>
        <w:tc>
          <w:tcPr>
            <w:tcW w:w="1032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</w:pP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</w:pPr>
            <w:bookmarkStart w:id="0" w:name="_GoBack"/>
            <w:bookmarkEnd w:id="0"/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1A494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przedstawienie i </w:t>
            </w:r>
            <w:r>
              <w:rPr>
                <w:rFonts w:ascii="Arial" w:hAnsi="Arial" w:cs="Arial"/>
                <w:sz w:val="16"/>
                <w:szCs w:val="16"/>
              </w:rPr>
              <w:t>wykorzystanie praktyczne inżynierii oprogramowania i jej narzędzi.</w:t>
            </w:r>
          </w:p>
          <w:p w:rsidR="001A4946" w:rsidRDefault="001A494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1A4946" w:rsidRDefault="001A494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Przewidzianych jest piętnaście wykładów. Obejmują one przedstawienie pojęć z inżynierii oprogramowania oraz narzędzi z tej dziedziny. W kolejności są prezentowane: meto</w:t>
            </w:r>
            <w:r>
              <w:rPr>
                <w:rFonts w:ascii="Arial" w:hAnsi="Arial" w:cs="Arial"/>
                <w:sz w:val="16"/>
                <w:szCs w:val="16"/>
              </w:rPr>
              <w:t>dy zarządzania projektem informatycznym, w tym problematyka jakości i bezpieczeństwa, metody i narzędzia wspomagające tworzenie oprogramowanie (CASE), diagramy UML oraz zagadnienia związane z testowaniem oprogramowania, począwszy od debugowania programu, a</w:t>
            </w:r>
            <w:r>
              <w:rPr>
                <w:rFonts w:ascii="Arial" w:hAnsi="Arial" w:cs="Arial"/>
                <w:sz w:val="16"/>
                <w:szCs w:val="16"/>
              </w:rPr>
              <w:t xml:space="preserve"> skończywszy na testach akceptacyjnych.</w:t>
            </w:r>
          </w:p>
          <w:p w:rsidR="001A4946" w:rsidRDefault="001A494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wiedzy z wykładów do napisania i przetestowania aplikacji, włącznie z etapem negocjacji. Grupa laboratoryjna studentów pracuje wspólnie na zajęciach nad realizacją </w:t>
            </w:r>
            <w:r>
              <w:rPr>
                <w:rFonts w:ascii="Arial" w:hAnsi="Arial" w:cs="Arial"/>
                <w:sz w:val="16"/>
                <w:szCs w:val="16"/>
              </w:rPr>
              <w:t>projektu.</w:t>
            </w:r>
          </w:p>
        </w:tc>
      </w:tr>
      <w:tr w:rsidR="001A4946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...18...;  </w:t>
            </w:r>
          </w:p>
          <w:p w:rsidR="001A4946" w:rsidRDefault="00407283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...18...; </w:t>
            </w:r>
          </w:p>
          <w:p w:rsidR="001A4946" w:rsidRDefault="00407283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konsultacje z wykładowcą; liczba godzin ...8…;</w:t>
            </w:r>
          </w:p>
        </w:tc>
      </w:tr>
      <w:tr w:rsidR="001A4946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dyskusja, ćwiczenia rachunkowe (szacowanie czasu </w:t>
            </w:r>
            <w:r>
              <w:rPr>
                <w:rFonts w:ascii="Arial" w:hAnsi="Arial" w:cs="Arial"/>
                <w:sz w:val="16"/>
                <w:szCs w:val="16"/>
              </w:rPr>
              <w:t>potrzebnego na projekt IT), rysowanie diagramów UML, tworzenie kodu za pomocą narzędzi CASE, praca grupowa w nad projektem.</w:t>
            </w: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obiektowe, podstawy rachunku prawdopodobieństwa i statystyki</w:t>
            </w:r>
          </w:p>
          <w:p w:rsidR="001A4946" w:rsidRDefault="001A494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1A4946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</w:t>
            </w:r>
            <w:r>
              <w:rPr>
                <w:rFonts w:ascii="Arial" w:hAnsi="Arial" w:cs="Arial"/>
                <w:sz w:val="16"/>
                <w:szCs w:val="16"/>
              </w:rPr>
              <w:t>wania i testowania aplikacji,</w:t>
            </w:r>
          </w:p>
          <w:p w:rsidR="001A4946" w:rsidRDefault="004072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wzorców projektowych.</w:t>
            </w:r>
          </w:p>
          <w:p w:rsidR="001A4946" w:rsidRDefault="001A494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IT,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PERT,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posługiwać się diagramami UML oraz narzędziami </w:t>
            </w:r>
            <w:r>
              <w:rPr>
                <w:rFonts w:ascii="Arial" w:hAnsi="Arial" w:cs="Arial"/>
                <w:sz w:val="16"/>
                <w:szCs w:val="16"/>
              </w:rPr>
              <w:t>CASE,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integracyjny,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kodzie,</w:t>
            </w:r>
          </w:p>
          <w:p w:rsidR="001A4946" w:rsidRDefault="004072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akceptacyjne.</w:t>
            </w:r>
          </w:p>
          <w:p w:rsidR="001A4946" w:rsidRDefault="001A494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1A4946" w:rsidRDefault="00407283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Student jest gotowy do pracy w projekcie zespołowym.</w:t>
            </w:r>
          </w:p>
        </w:tc>
      </w:tr>
      <w:tr w:rsidR="001A4946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Sposób </w:t>
            </w:r>
            <w:r>
              <w:rPr>
                <w:sz w:val="16"/>
                <w:szCs w:val="16"/>
              </w:rPr>
              <w:t>weryfikacji efektów uczenia się: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Egzamin pisemny oraz ocena za wkład własny studenta w projekt grupowy realizowany podczas zajęć.</w:t>
            </w:r>
          </w:p>
        </w:tc>
      </w:tr>
      <w:tr w:rsidR="001A4946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z pracy, dokumentacja projektu oraz egzamin.</w:t>
            </w:r>
          </w:p>
        </w:tc>
      </w:tr>
      <w:tr w:rsidR="001A4946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Elementy i </w:t>
            </w:r>
            <w:r>
              <w:rPr>
                <w:sz w:val="16"/>
                <w:szCs w:val="16"/>
              </w:rPr>
              <w:t>wagi mające wpływ</w:t>
            </w:r>
          </w:p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70%, laboratorium – 30%</w:t>
            </w:r>
          </w:p>
        </w:tc>
      </w:tr>
      <w:tr w:rsidR="001A494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-sala audytoryjna, ćwiczenia laboratoryjne – laboratorium komputerowe</w:t>
            </w:r>
          </w:p>
        </w:tc>
      </w:tr>
      <w:tr w:rsidR="001A4946">
        <w:trPr>
          <w:trHeight w:val="340"/>
        </w:trPr>
        <w:tc>
          <w:tcPr>
            <w:tcW w:w="10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1A4946" w:rsidRDefault="00407283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Literatura podstawowa: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Sacha Krzysztof, </w:t>
            </w:r>
            <w:r>
              <w:rPr>
                <w:rFonts w:ascii="Arial" w:hAnsi="Arial" w:cs="Arial"/>
                <w:sz w:val="16"/>
                <w:szCs w:val="16"/>
              </w:rPr>
              <w:t>Inżynieria oprogramowania, Wydawnictwo Naukowe PWN, Warszawa 2010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Butchter Paul, Debugowanie – Jak wyszukiwać i naprawiać błędy w kodzie oraz im zapobiegać, Helion 2010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Wryczy Stanisława, Ćwiczenia UML 2.1, Helion 2006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Ezust Alan, Ezust Paul,  C++ i Qt, Wp</w:t>
            </w:r>
            <w:r>
              <w:rPr>
                <w:rFonts w:ascii="Arial" w:hAnsi="Arial" w:cs="Arial"/>
                <w:sz w:val="16"/>
                <w:szCs w:val="16"/>
              </w:rPr>
              <w:t>rowadzenie do wzorców projektowych, Wydanie II, Helion 2014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Antani Ved, Stefanov Stoyan, Programowanie zorientowane obiektowo w języku JavaScript, Wydanie III, Helion 2018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Zandstra Matt, PHP Obiekty, wzorce, narzędzia, Wydanie IV, Helion 2014</w:t>
            </w:r>
          </w:p>
          <w:p w:rsidR="001A4946" w:rsidRDefault="00407283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Literatura </w:t>
            </w:r>
            <w:r>
              <w:rPr>
                <w:rFonts w:ascii="Arial" w:hAnsi="Arial" w:cs="Arial"/>
                <w:sz w:val="16"/>
                <w:szCs w:val="16"/>
              </w:rPr>
              <w:t>uzupełniająca:</w:t>
            </w:r>
          </w:p>
          <w:p w:rsidR="001A4946" w:rsidRPr="00407283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07283">
              <w:rPr>
                <w:rFonts w:ascii="Arial" w:hAnsi="Arial" w:cs="Arial"/>
                <w:sz w:val="16"/>
                <w:szCs w:val="16"/>
              </w:rPr>
              <w:t>Bereza -Jarociński Bogdan, Szomański Bolesław, Inżynieria oprogramowania, Helion 2009</w:t>
            </w:r>
          </w:p>
          <w:p w:rsidR="001A4946" w:rsidRPr="00407283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7283">
              <w:rPr>
                <w:rFonts w:ascii="Arial" w:hAnsi="Arial" w:cs="Arial"/>
                <w:sz w:val="16"/>
                <w:szCs w:val="16"/>
                <w:lang w:val="de-DE"/>
              </w:rPr>
              <w:t>Schmuller Joseph, UML in 24 Hours, SAMS 2009, USA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鶴保・征城、駒谷・昇一、「ずっと受けたかったソフトウェアエンジニアリングの授業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」、翔泳社、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２０１０年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(Tsuruho Seishiro, Komaya Shōichi, Zdążyć na czas –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kurs inżynierii oprogramowania, część 1, Shōeisha 2010, Japonia)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鶴保・征城、駒谷・昇一、「ずっと受けたかったソフトウェアエンジニアリングの授業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②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」、翔泳社、</w:t>
            </w:r>
          </w:p>
          <w:p w:rsidR="001A4946" w:rsidRDefault="0040728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２０１０年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(Tsuruho Seishiro, Komaya Shōichi, Zdążyć na czas – kurs inżynierii oprogramowania, część 2, Shōeisha 2010, Japonia)</w:t>
            </w:r>
          </w:p>
          <w:p w:rsidR="001A4946" w:rsidRDefault="001A494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1A4946">
        <w:trPr>
          <w:trHeight w:val="340"/>
        </w:trPr>
        <w:tc>
          <w:tcPr>
            <w:tcW w:w="10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1A4946" w:rsidRDefault="0040728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</w:t>
            </w:r>
            <w:r>
              <w:rPr>
                <w:rFonts w:ascii="Arial" w:hAnsi="Arial" w:cs="Arial"/>
                <w:sz w:val="16"/>
                <w:szCs w:val="16"/>
              </w:rPr>
              <w:t>zba punktów konieczna do zaliczenia: 50. Punkty liczone są według następującej zasady:</w:t>
            </w:r>
          </w:p>
          <w:p w:rsidR="001A4946" w:rsidRDefault="001A494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40728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Punkty z laboratorium wynikają</w:t>
            </w:r>
            <w:r>
              <w:rPr>
                <w:rFonts w:ascii="Arial" w:hAnsi="Arial" w:cs="Arial"/>
                <w:sz w:val="16"/>
                <w:szCs w:val="16"/>
              </w:rPr>
              <w:t xml:space="preserve"> z pracy nad projektem, która pochodzi z dwóch czynników. Pierwszym z nich jest budżet punktów zdobyty przez grupę za projekt. Budżet jest iloczynem liczby studentów w grupie oraz punktów za projekt i jest on w całości rozdysponowany pomiędzy studentów, we</w:t>
            </w:r>
            <w:r>
              <w:rPr>
                <w:rFonts w:ascii="Arial" w:hAnsi="Arial" w:cs="Arial"/>
                <w:sz w:val="16"/>
                <w:szCs w:val="16"/>
              </w:rPr>
              <w:t>dług ich zaangażowania podczas tworzenia projektu. Istnieje możliwość zdobycia premii punktowej (w ocenie projektu), gdy jest on wykonany lepiej, niż zostało to określone w specyfikacji. Jednakże we wspomnianym budżecie punktów nie ma możliwości udzielenia</w:t>
            </w:r>
            <w:r>
              <w:rPr>
                <w:rFonts w:ascii="Arial" w:hAnsi="Arial" w:cs="Arial"/>
                <w:sz w:val="16"/>
                <w:szCs w:val="16"/>
              </w:rPr>
              <w:t xml:space="preserve"> kredytu, czyli dania komuś więcej punktów, niż to wynika z bilansu.</w:t>
            </w:r>
          </w:p>
          <w:p w:rsidR="001A4946" w:rsidRDefault="001A494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1A494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A4946" w:rsidRDefault="0040728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egzaminie można zdobyć maksymalnie 70 punktów. Liczba punktów zdobytych na laboratorium może być większa niż 30 (w przypadku premii). W przypadku, gdy student zdobędzie więcej niż 10</w:t>
            </w:r>
            <w:r>
              <w:rPr>
                <w:rFonts w:ascii="Arial" w:hAnsi="Arial" w:cs="Arial"/>
                <w:sz w:val="16"/>
                <w:szCs w:val="16"/>
              </w:rPr>
              <w:t>0 punktów, również otrzymuje ocenę 5,0 z przedmiotu.</w:t>
            </w:r>
          </w:p>
          <w:p w:rsidR="001A4946" w:rsidRDefault="001A494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1A4946" w:rsidRDefault="00407283">
      <w:pPr>
        <w:rPr>
          <w:sz w:val="16"/>
        </w:rPr>
      </w:pPr>
      <w:r>
        <w:rPr>
          <w:sz w:val="16"/>
        </w:rPr>
        <w:br/>
      </w:r>
    </w:p>
    <w:p w:rsidR="001A4946" w:rsidRDefault="00407283">
      <w:pPr>
        <w:rPr>
          <w:sz w:val="16"/>
        </w:rPr>
      </w:pPr>
      <w:r>
        <w:br w:type="page"/>
      </w:r>
    </w:p>
    <w:p w:rsidR="001A4946" w:rsidRDefault="00407283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1A4946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</w:t>
            </w:r>
            <w:r>
              <w:rPr>
                <w:bCs/>
                <w:sz w:val="18"/>
                <w:szCs w:val="18"/>
              </w:rPr>
              <w:t>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 h</w:t>
            </w:r>
          </w:p>
        </w:tc>
      </w:tr>
      <w:tr w:rsidR="001A4946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946" w:rsidRDefault="0040728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ECTS</w:t>
            </w:r>
          </w:p>
        </w:tc>
      </w:tr>
    </w:tbl>
    <w:p w:rsidR="001A4946" w:rsidRDefault="001A4946"/>
    <w:p w:rsidR="001A4946" w:rsidRDefault="00407283">
      <w:pPr>
        <w:rPr>
          <w:sz w:val="18"/>
        </w:rPr>
      </w:pPr>
      <w:r>
        <w:rPr>
          <w:sz w:val="18"/>
        </w:rPr>
        <w:t xml:space="preserve">Tabela zgodności </w:t>
      </w:r>
      <w:r>
        <w:rPr>
          <w:sz w:val="18"/>
        </w:rPr>
        <w:t>kierunkowych efektów uczenia się z efektami przedmiotu:</w:t>
      </w:r>
    </w:p>
    <w:p w:rsidR="001A4946" w:rsidRDefault="001A4946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7"/>
        <w:gridCol w:w="4563"/>
        <w:gridCol w:w="3001"/>
        <w:gridCol w:w="1381"/>
      </w:tblGrid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problemy związane z zarządzaniem </w:t>
            </w:r>
            <w:r>
              <w:rPr>
                <w:rFonts w:ascii="Arial" w:hAnsi="Arial" w:cs="Arial"/>
                <w:sz w:val="16"/>
                <w:szCs w:val="16"/>
              </w:rPr>
              <w:t>jakością.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K_W10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najczęściej używane diagramy UML.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wzorców projektowych.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K_U26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K_U25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</w:t>
            </w:r>
            <w:r>
              <w:rPr>
                <w:rFonts w:ascii="Arial" w:hAnsi="Arial" w:cs="Arial"/>
                <w:sz w:val="16"/>
                <w:szCs w:val="16"/>
              </w:rPr>
              <w:t>y i integracyjny.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przeprowadzić testy systemowe i akceptacyjne.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K_U20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494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Kompetencja 1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Student jest gotowy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do pracy w projekcie zespołowym.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K_K06 / P6S_KO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6" w:rsidRDefault="00407283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</w:tbl>
    <w:p w:rsidR="001A4946" w:rsidRDefault="001A4946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1A4946" w:rsidRDefault="00407283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1A4946" w:rsidRDefault="00407283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1A4946" w:rsidRDefault="00407283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1A4946" w:rsidRDefault="00407283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1A4946" w:rsidRDefault="001A4946"/>
    <w:sectPr w:rsidR="001A4946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B399E"/>
    <w:multiLevelType w:val="multilevel"/>
    <w:tmpl w:val="551C777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5B406ADB"/>
    <w:multiLevelType w:val="multilevel"/>
    <w:tmpl w:val="355C8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717EA7"/>
    <w:multiLevelType w:val="multilevel"/>
    <w:tmpl w:val="620E17E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3" w15:restartNumberingAfterBreak="0">
    <w:nsid w:val="76F7215B"/>
    <w:multiLevelType w:val="multilevel"/>
    <w:tmpl w:val="9BBABC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CF8130A"/>
    <w:multiLevelType w:val="multilevel"/>
    <w:tmpl w:val="2D6E5F9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5" w15:restartNumberingAfterBreak="0">
    <w:nsid w:val="7D9E6428"/>
    <w:multiLevelType w:val="multilevel"/>
    <w:tmpl w:val="51464B92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946"/>
    <w:rsid w:val="001A4946"/>
    <w:rsid w:val="0040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1001</Words>
  <Characters>6011</Characters>
  <Application>Microsoft Office Word</Application>
  <DocSecurity>0</DocSecurity>
  <Lines>50</Lines>
  <Paragraphs>13</Paragraphs>
  <ScaleCrop>false</ScaleCrop>
  <Company>Microsoft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93</cp:revision>
  <cp:lastPrinted>2019-03-18T08:34:00Z</cp:lastPrinted>
  <dcterms:created xsi:type="dcterms:W3CDTF">2019-04-29T18:38:00Z</dcterms:created>
  <dcterms:modified xsi:type="dcterms:W3CDTF">2019-05-13T13:07:00Z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